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552BC" w14:textId="27C1B0F7" w:rsidR="00CE121E" w:rsidRDefault="00CE121E" w:rsidP="00CE121E">
      <w:pPr>
        <w:jc w:val="right"/>
      </w:pPr>
      <w:r>
        <w:rPr>
          <w:rFonts w:cs="Arial"/>
          <w:noProof/>
          <w:color w:val="800000"/>
          <w:sz w:val="28"/>
          <w:szCs w:val="28"/>
        </w:rPr>
        <w:drawing>
          <wp:inline distT="0" distB="0" distL="0" distR="0" wp14:anchorId="4CAEC507" wp14:editId="6DDEFE82">
            <wp:extent cx="1280160" cy="697177"/>
            <wp:effectExtent l="0" t="0" r="0" b="8255"/>
            <wp:docPr id="2" name="Picture 2" descr="S:\BHA ADMIN\BHA LOGOS\new logo november 2016 - don't use yet\PRINT\PANTONE\Barnsbury_Logo_s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BHA ADMIN\BHA LOGOS\new logo november 2016 - don't use yet\PRINT\PANTONE\Barnsbury_Logo_spo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7936" cy="706858"/>
                    </a:xfrm>
                    <a:prstGeom prst="rect">
                      <a:avLst/>
                    </a:prstGeom>
                    <a:noFill/>
                    <a:ln>
                      <a:noFill/>
                    </a:ln>
                  </pic:spPr>
                </pic:pic>
              </a:graphicData>
            </a:graphic>
          </wp:inline>
        </w:drawing>
      </w:r>
    </w:p>
    <w:p w14:paraId="1D2FB0EB" w14:textId="77777777" w:rsidR="00CE121E" w:rsidRPr="00CE121E" w:rsidRDefault="00CE121E">
      <w:pPr>
        <w:rPr>
          <w:rFonts w:ascii="Gill Sans MT" w:hAnsi="Gill Sans MT"/>
          <w:sz w:val="24"/>
          <w:szCs w:val="24"/>
        </w:rPr>
      </w:pPr>
    </w:p>
    <w:p w14:paraId="0A16CCF6" w14:textId="77777777" w:rsidR="00CE121E" w:rsidRPr="00CE121E" w:rsidRDefault="00CE121E">
      <w:pPr>
        <w:rPr>
          <w:rFonts w:ascii="Gill Sans MT" w:hAnsi="Gill Sans MT"/>
          <w:sz w:val="24"/>
          <w:szCs w:val="24"/>
        </w:rPr>
      </w:pPr>
    </w:p>
    <w:p w14:paraId="28CA1CD2" w14:textId="49A2EACE" w:rsidR="00CE121E" w:rsidRPr="00CE121E" w:rsidRDefault="00CE121E">
      <w:pPr>
        <w:rPr>
          <w:rFonts w:ascii="Gill Sans MT" w:hAnsi="Gill Sans MT"/>
          <w:b/>
          <w:bCs/>
          <w:sz w:val="24"/>
          <w:szCs w:val="24"/>
        </w:rPr>
      </w:pPr>
      <w:proofErr w:type="spellStart"/>
      <w:r w:rsidRPr="00CE121E">
        <w:rPr>
          <w:rFonts w:ascii="Gill Sans MT" w:hAnsi="Gill Sans MT"/>
          <w:b/>
          <w:bCs/>
          <w:sz w:val="24"/>
          <w:szCs w:val="24"/>
        </w:rPr>
        <w:t>Barnsbury</w:t>
      </w:r>
      <w:proofErr w:type="spellEnd"/>
      <w:r w:rsidRPr="00CE121E">
        <w:rPr>
          <w:rFonts w:ascii="Gill Sans MT" w:hAnsi="Gill Sans MT"/>
          <w:b/>
          <w:bCs/>
          <w:sz w:val="24"/>
          <w:szCs w:val="24"/>
        </w:rPr>
        <w:t xml:space="preserve"> Housing Association </w:t>
      </w:r>
    </w:p>
    <w:p w14:paraId="2A5B4739" w14:textId="77777777" w:rsidR="00CE121E" w:rsidRPr="00CE121E" w:rsidRDefault="00CE121E">
      <w:pPr>
        <w:rPr>
          <w:rFonts w:ascii="Gill Sans MT" w:hAnsi="Gill Sans MT"/>
          <w:b/>
          <w:bCs/>
          <w:sz w:val="24"/>
          <w:szCs w:val="24"/>
        </w:rPr>
      </w:pPr>
      <w:r w:rsidRPr="00CE121E">
        <w:rPr>
          <w:rFonts w:ascii="Gill Sans MT" w:hAnsi="Gill Sans MT"/>
          <w:b/>
          <w:bCs/>
          <w:sz w:val="24"/>
          <w:szCs w:val="24"/>
        </w:rPr>
        <w:t xml:space="preserve">Board of Management </w:t>
      </w:r>
    </w:p>
    <w:p w14:paraId="37CD1978" w14:textId="5256EEC7" w:rsidR="00CE121E" w:rsidRPr="00CE121E" w:rsidRDefault="00CE121E">
      <w:pPr>
        <w:rPr>
          <w:rFonts w:ascii="Gill Sans MT" w:hAnsi="Gill Sans MT"/>
          <w:b/>
          <w:bCs/>
          <w:sz w:val="24"/>
          <w:szCs w:val="24"/>
        </w:rPr>
      </w:pPr>
      <w:r w:rsidRPr="00CE121E">
        <w:rPr>
          <w:rFonts w:ascii="Gill Sans MT" w:hAnsi="Gill Sans MT"/>
          <w:b/>
          <w:bCs/>
          <w:sz w:val="24"/>
          <w:szCs w:val="24"/>
        </w:rPr>
        <w:t xml:space="preserve">May 16, 2024 </w:t>
      </w:r>
    </w:p>
    <w:p w14:paraId="3B2A34AC" w14:textId="6C132E7E" w:rsidR="00CE121E" w:rsidRPr="00CE121E" w:rsidRDefault="00CE121E">
      <w:pPr>
        <w:rPr>
          <w:rFonts w:ascii="Gill Sans MT" w:hAnsi="Gill Sans MT"/>
          <w:b/>
          <w:bCs/>
          <w:sz w:val="24"/>
          <w:szCs w:val="24"/>
        </w:rPr>
      </w:pPr>
      <w:r w:rsidRPr="00CE121E">
        <w:rPr>
          <w:rFonts w:ascii="Gill Sans MT" w:hAnsi="Gill Sans MT"/>
          <w:b/>
          <w:bCs/>
          <w:sz w:val="24"/>
          <w:szCs w:val="24"/>
        </w:rPr>
        <w:t>Complaints report 2024-25</w:t>
      </w:r>
    </w:p>
    <w:p w14:paraId="1E48403B" w14:textId="77777777" w:rsidR="00CE121E" w:rsidRPr="00CE121E" w:rsidRDefault="00CE121E">
      <w:pPr>
        <w:rPr>
          <w:rFonts w:ascii="Gill Sans MT" w:hAnsi="Gill Sans MT"/>
          <w:sz w:val="24"/>
          <w:szCs w:val="24"/>
        </w:rPr>
      </w:pPr>
    </w:p>
    <w:p w14:paraId="12983D78" w14:textId="77777777" w:rsidR="00CE121E" w:rsidRPr="00CE121E" w:rsidRDefault="00CE121E" w:rsidP="00CE121E">
      <w:pPr>
        <w:pStyle w:val="ListParagraph"/>
        <w:numPr>
          <w:ilvl w:val="0"/>
          <w:numId w:val="1"/>
        </w:numPr>
        <w:spacing w:after="200" w:line="276" w:lineRule="auto"/>
        <w:rPr>
          <w:rFonts w:ascii="Gill Sans MT" w:hAnsi="Gill Sans MT"/>
          <w:b/>
          <w:bCs/>
          <w:sz w:val="24"/>
          <w:szCs w:val="24"/>
          <w:u w:val="single"/>
        </w:rPr>
      </w:pPr>
      <w:r w:rsidRPr="00CE121E">
        <w:rPr>
          <w:rFonts w:ascii="Gill Sans MT" w:hAnsi="Gill Sans MT"/>
          <w:b/>
          <w:bCs/>
          <w:sz w:val="24"/>
          <w:szCs w:val="24"/>
          <w:u w:val="single"/>
        </w:rPr>
        <w:t xml:space="preserve">Review of complaints, compliments, and subject access requests </w:t>
      </w:r>
    </w:p>
    <w:p w14:paraId="45F831A7" w14:textId="668B2FD0" w:rsidR="00CE121E" w:rsidRPr="00CE121E" w:rsidRDefault="00CE121E" w:rsidP="00CE121E">
      <w:pPr>
        <w:rPr>
          <w:rFonts w:ascii="Gill Sans MT" w:hAnsi="Gill Sans MT"/>
          <w:sz w:val="24"/>
          <w:szCs w:val="24"/>
        </w:rPr>
      </w:pPr>
      <w:r w:rsidRPr="00CE121E">
        <w:rPr>
          <w:rFonts w:ascii="Gill Sans MT" w:hAnsi="Gill Sans MT"/>
          <w:sz w:val="24"/>
          <w:szCs w:val="24"/>
        </w:rPr>
        <w:t xml:space="preserve">1.1 Each year, we complete a review of complaints received during the year to understand themes, trends and any lessons learnt, and BHA Board take complaints seriously: they are a key mechanism for service improvement. </w:t>
      </w:r>
    </w:p>
    <w:p w14:paraId="142D4487" w14:textId="533C025A" w:rsidR="00CE121E" w:rsidRPr="00CE121E" w:rsidRDefault="00CE121E" w:rsidP="00CE121E">
      <w:pPr>
        <w:rPr>
          <w:rFonts w:ascii="Gill Sans MT" w:hAnsi="Gill Sans MT"/>
          <w:sz w:val="24"/>
          <w:szCs w:val="24"/>
        </w:rPr>
      </w:pPr>
      <w:r w:rsidRPr="00CE121E">
        <w:rPr>
          <w:rFonts w:ascii="Gill Sans MT" w:hAnsi="Gill Sans MT"/>
          <w:sz w:val="24"/>
          <w:szCs w:val="24"/>
        </w:rPr>
        <w:t>1.2 We encourage complaints and foster an environment where complaints are valued, addressed and learnt from. The Board regularly receive complaint data and analysis and are confident matters are managed appropriately in line with the BHA’s and the Housing Ombudsman’s complaints process.</w:t>
      </w:r>
    </w:p>
    <w:p w14:paraId="07A87AB8" w14:textId="26B71EF7" w:rsidR="00CE121E" w:rsidRPr="00CE121E" w:rsidRDefault="00CE121E" w:rsidP="00CE121E">
      <w:pPr>
        <w:rPr>
          <w:rFonts w:ascii="Gill Sans MT" w:hAnsi="Gill Sans MT"/>
          <w:sz w:val="24"/>
          <w:szCs w:val="24"/>
        </w:rPr>
      </w:pPr>
      <w:r w:rsidRPr="00CE121E">
        <w:rPr>
          <w:rFonts w:ascii="Gill Sans MT" w:hAnsi="Gill Sans MT"/>
          <w:sz w:val="24"/>
          <w:szCs w:val="24"/>
        </w:rPr>
        <w:t>1.3 We had 20 formal complaints during 2024/25. Of these:</w:t>
      </w:r>
    </w:p>
    <w:p w14:paraId="65789EC3" w14:textId="77777777" w:rsidR="00CE121E" w:rsidRPr="00CE121E" w:rsidRDefault="00CE121E" w:rsidP="00CE121E">
      <w:pPr>
        <w:pStyle w:val="ListParagraph"/>
        <w:numPr>
          <w:ilvl w:val="0"/>
          <w:numId w:val="2"/>
        </w:numPr>
        <w:spacing w:line="278" w:lineRule="auto"/>
        <w:rPr>
          <w:rFonts w:ascii="Gill Sans MT" w:hAnsi="Gill Sans MT"/>
          <w:sz w:val="24"/>
          <w:szCs w:val="24"/>
        </w:rPr>
      </w:pPr>
      <w:r w:rsidRPr="00CE121E">
        <w:rPr>
          <w:rFonts w:ascii="Gill Sans MT" w:hAnsi="Gill Sans MT"/>
          <w:sz w:val="24"/>
          <w:szCs w:val="24"/>
        </w:rPr>
        <w:t>15 were concluded at Stage 1</w:t>
      </w:r>
    </w:p>
    <w:p w14:paraId="5F6F8856" w14:textId="77777777" w:rsidR="00CE121E" w:rsidRPr="00CE121E" w:rsidRDefault="00CE121E" w:rsidP="00CE121E">
      <w:pPr>
        <w:pStyle w:val="ListParagraph"/>
        <w:numPr>
          <w:ilvl w:val="0"/>
          <w:numId w:val="2"/>
        </w:numPr>
        <w:spacing w:line="278" w:lineRule="auto"/>
        <w:rPr>
          <w:rFonts w:ascii="Gill Sans MT" w:hAnsi="Gill Sans MT"/>
          <w:sz w:val="24"/>
          <w:szCs w:val="24"/>
        </w:rPr>
      </w:pPr>
      <w:r w:rsidRPr="00CE121E">
        <w:rPr>
          <w:rFonts w:ascii="Gill Sans MT" w:hAnsi="Gill Sans MT"/>
          <w:sz w:val="24"/>
          <w:szCs w:val="24"/>
        </w:rPr>
        <w:t xml:space="preserve">3 went to Stage 2 </w:t>
      </w:r>
    </w:p>
    <w:p w14:paraId="54CE41DA" w14:textId="77777777" w:rsidR="00CE121E" w:rsidRPr="00CE121E" w:rsidRDefault="00CE121E" w:rsidP="00CE121E">
      <w:pPr>
        <w:pStyle w:val="ListParagraph"/>
        <w:numPr>
          <w:ilvl w:val="0"/>
          <w:numId w:val="2"/>
        </w:numPr>
        <w:spacing w:line="278" w:lineRule="auto"/>
        <w:rPr>
          <w:rFonts w:ascii="Gill Sans MT" w:hAnsi="Gill Sans MT"/>
          <w:sz w:val="24"/>
          <w:szCs w:val="24"/>
        </w:rPr>
      </w:pPr>
      <w:r w:rsidRPr="00CE121E">
        <w:rPr>
          <w:rFonts w:ascii="Gill Sans MT" w:hAnsi="Gill Sans MT"/>
          <w:sz w:val="24"/>
          <w:szCs w:val="24"/>
        </w:rPr>
        <w:t xml:space="preserve">2 Housing Ombudsman complaints and one remains open to date. </w:t>
      </w:r>
    </w:p>
    <w:p w14:paraId="07C136A5" w14:textId="77777777" w:rsidR="00CE121E" w:rsidRPr="00CE121E" w:rsidRDefault="00CE121E" w:rsidP="00CE121E">
      <w:pPr>
        <w:pStyle w:val="ListParagraph"/>
        <w:numPr>
          <w:ilvl w:val="0"/>
          <w:numId w:val="2"/>
        </w:numPr>
        <w:spacing w:line="278" w:lineRule="auto"/>
        <w:rPr>
          <w:rFonts w:ascii="Gill Sans MT" w:hAnsi="Gill Sans MT"/>
          <w:sz w:val="24"/>
          <w:szCs w:val="24"/>
        </w:rPr>
      </w:pPr>
      <w:r w:rsidRPr="00CE121E">
        <w:rPr>
          <w:rFonts w:ascii="Gill Sans MT" w:hAnsi="Gill Sans MT"/>
          <w:sz w:val="24"/>
          <w:szCs w:val="24"/>
        </w:rPr>
        <w:t>3 were upheld, 10 partially upheld and 7 were not upheld.</w:t>
      </w:r>
    </w:p>
    <w:p w14:paraId="1A5A0161" w14:textId="77777777" w:rsidR="00CE121E" w:rsidRPr="00CE121E" w:rsidRDefault="00CE121E" w:rsidP="00CE121E">
      <w:pPr>
        <w:pStyle w:val="ListParagraph"/>
        <w:numPr>
          <w:ilvl w:val="0"/>
          <w:numId w:val="2"/>
        </w:numPr>
        <w:spacing w:line="278" w:lineRule="auto"/>
        <w:rPr>
          <w:rFonts w:ascii="Gill Sans MT" w:hAnsi="Gill Sans MT"/>
          <w:sz w:val="24"/>
          <w:szCs w:val="24"/>
        </w:rPr>
      </w:pPr>
      <w:r w:rsidRPr="00CE121E">
        <w:rPr>
          <w:rFonts w:ascii="Gill Sans MT" w:hAnsi="Gill Sans MT"/>
          <w:sz w:val="24"/>
          <w:szCs w:val="24"/>
        </w:rPr>
        <w:t xml:space="preserve">All except 1 were responded to within time, this was out of time by 14 days – this was due to an internal process not being completed intime. </w:t>
      </w:r>
    </w:p>
    <w:p w14:paraId="09F3AAE0" w14:textId="2AED24DA" w:rsidR="00CE121E" w:rsidRPr="00CE121E" w:rsidRDefault="00CE121E" w:rsidP="00CE121E">
      <w:pPr>
        <w:rPr>
          <w:rFonts w:ascii="Gill Sans MT" w:hAnsi="Gill Sans MT"/>
          <w:sz w:val="24"/>
          <w:szCs w:val="24"/>
        </w:rPr>
      </w:pPr>
      <w:r w:rsidRPr="00CE121E">
        <w:rPr>
          <w:rFonts w:ascii="Gill Sans MT" w:hAnsi="Gill Sans MT"/>
          <w:sz w:val="24"/>
          <w:szCs w:val="24"/>
        </w:rPr>
        <w:t xml:space="preserve">1.4 There are no identifiable trends to the neighbourhoods, tenant make up or protected characteristic make-up of the tenants that made the complaints. It is difficult to pick out any general themes – most were specific issues. </w:t>
      </w:r>
    </w:p>
    <w:p w14:paraId="63EF1589" w14:textId="77777777" w:rsidR="00CE121E" w:rsidRPr="00CE121E" w:rsidRDefault="00CE121E" w:rsidP="00CE121E">
      <w:pPr>
        <w:rPr>
          <w:rFonts w:ascii="Gill Sans MT" w:hAnsi="Gill Sans MT"/>
          <w:b/>
          <w:bCs/>
          <w:sz w:val="24"/>
          <w:szCs w:val="24"/>
        </w:rPr>
      </w:pPr>
      <w:r w:rsidRPr="00CE121E">
        <w:rPr>
          <w:rFonts w:ascii="Gill Sans MT" w:hAnsi="Gill Sans MT"/>
          <w:b/>
          <w:bCs/>
          <w:sz w:val="24"/>
          <w:szCs w:val="24"/>
        </w:rPr>
        <w:t xml:space="preserve">Timelines for reporting </w:t>
      </w:r>
    </w:p>
    <w:p w14:paraId="661A1184" w14:textId="0B7E6987" w:rsidR="00CE121E" w:rsidRPr="00CE121E" w:rsidRDefault="00CE121E" w:rsidP="00CE121E">
      <w:pPr>
        <w:jc w:val="both"/>
        <w:rPr>
          <w:rFonts w:ascii="Gill Sans MT" w:hAnsi="Gill Sans MT"/>
          <w:sz w:val="24"/>
          <w:szCs w:val="24"/>
        </w:rPr>
      </w:pPr>
      <w:r w:rsidRPr="00CE121E">
        <w:rPr>
          <w:rFonts w:ascii="Gill Sans MT" w:hAnsi="Gill Sans MT"/>
          <w:sz w:val="24"/>
          <w:szCs w:val="24"/>
        </w:rPr>
        <w:t xml:space="preserve">1.5 During the year we had one complaint outside of the desired timescales of 14 days, this was due to internal processes not being followed correctly due to annual leave, this has now been reviewed, and a new process has been put in place. </w:t>
      </w:r>
    </w:p>
    <w:p w14:paraId="111EF29C" w14:textId="77777777" w:rsidR="00CE121E" w:rsidRPr="00CE121E" w:rsidRDefault="00CE121E" w:rsidP="00CE121E">
      <w:pPr>
        <w:rPr>
          <w:rFonts w:ascii="Gill Sans MT" w:hAnsi="Gill Sans MT"/>
          <w:sz w:val="24"/>
          <w:szCs w:val="24"/>
        </w:rPr>
      </w:pPr>
      <w:r w:rsidRPr="00CE121E">
        <w:rPr>
          <w:rFonts w:ascii="Gill Sans MT" w:hAnsi="Gill Sans MT"/>
          <w:sz w:val="24"/>
          <w:szCs w:val="24"/>
        </w:rPr>
        <w:t xml:space="preserve">Stage 2 complaints timescales stood at 100% within target time. </w:t>
      </w:r>
    </w:p>
    <w:p w14:paraId="0A30A6FE" w14:textId="77777777" w:rsidR="00CE121E" w:rsidRPr="00CE121E" w:rsidRDefault="00CE121E" w:rsidP="00CE121E">
      <w:pPr>
        <w:rPr>
          <w:rFonts w:ascii="Gill Sans MT" w:hAnsi="Gill Sans MT"/>
          <w:b/>
          <w:bCs/>
          <w:sz w:val="24"/>
          <w:szCs w:val="24"/>
        </w:rPr>
      </w:pPr>
    </w:p>
    <w:p w14:paraId="4A3B8533" w14:textId="77777777" w:rsidR="00CE121E" w:rsidRPr="00CE121E" w:rsidRDefault="00CE121E" w:rsidP="00CE121E">
      <w:pPr>
        <w:rPr>
          <w:rFonts w:ascii="Gill Sans MT" w:hAnsi="Gill Sans MT"/>
          <w:b/>
          <w:bCs/>
          <w:sz w:val="24"/>
          <w:szCs w:val="24"/>
        </w:rPr>
      </w:pPr>
    </w:p>
    <w:p w14:paraId="6B4E1599" w14:textId="0783114E" w:rsidR="00CE121E" w:rsidRPr="00CE121E" w:rsidRDefault="00CE121E" w:rsidP="00CE121E">
      <w:pPr>
        <w:rPr>
          <w:rFonts w:ascii="Gill Sans MT" w:hAnsi="Gill Sans MT"/>
          <w:sz w:val="24"/>
          <w:szCs w:val="24"/>
        </w:rPr>
      </w:pPr>
      <w:r w:rsidRPr="00CE121E">
        <w:rPr>
          <w:rFonts w:ascii="Gill Sans MT" w:hAnsi="Gill Sans MT"/>
          <w:b/>
          <w:bCs/>
          <w:sz w:val="24"/>
          <w:szCs w:val="24"/>
        </w:rPr>
        <w:lastRenderedPageBreak/>
        <w:t>Service requests</w:t>
      </w:r>
    </w:p>
    <w:p w14:paraId="2D9F8100" w14:textId="36161E61" w:rsidR="00CE121E" w:rsidRPr="00CE121E" w:rsidRDefault="00CE121E" w:rsidP="00CE121E">
      <w:pPr>
        <w:rPr>
          <w:rFonts w:ascii="Gill Sans MT" w:hAnsi="Gill Sans MT"/>
          <w:sz w:val="24"/>
          <w:szCs w:val="24"/>
        </w:rPr>
      </w:pPr>
      <w:r w:rsidRPr="00CE121E">
        <w:rPr>
          <w:rFonts w:ascii="Gill Sans MT" w:hAnsi="Gill Sans MT"/>
          <w:sz w:val="24"/>
          <w:szCs w:val="24"/>
        </w:rPr>
        <w:t xml:space="preserve">1.6 During the year there were 3 service requests as per the Housing Ombudsman handing code requirements, these are made up of the below, all were closed in desired timescales to the tenant’s satisfaction. </w:t>
      </w:r>
    </w:p>
    <w:tbl>
      <w:tblPr>
        <w:tblStyle w:val="TableGrid"/>
        <w:tblW w:w="0" w:type="auto"/>
        <w:tblLook w:val="04A0" w:firstRow="1" w:lastRow="0" w:firstColumn="1" w:lastColumn="0" w:noHBand="0" w:noVBand="1"/>
      </w:tblPr>
      <w:tblGrid>
        <w:gridCol w:w="3120"/>
        <w:gridCol w:w="3121"/>
      </w:tblGrid>
      <w:tr w:rsidR="00CE121E" w:rsidRPr="00CE121E" w14:paraId="0CEFD21C" w14:textId="77777777" w:rsidTr="002C0E2A">
        <w:tc>
          <w:tcPr>
            <w:tcW w:w="3120" w:type="dxa"/>
            <w:shd w:val="clear" w:color="auto" w:fill="00B0F0"/>
          </w:tcPr>
          <w:p w14:paraId="5B249E90" w14:textId="77777777" w:rsidR="00CE121E" w:rsidRPr="00CE121E" w:rsidRDefault="00CE121E" w:rsidP="002C0E2A">
            <w:pPr>
              <w:jc w:val="center"/>
              <w:rPr>
                <w:rFonts w:ascii="Gill Sans MT" w:hAnsi="Gill Sans MT"/>
                <w:b/>
                <w:bCs/>
                <w:sz w:val="24"/>
                <w:szCs w:val="24"/>
              </w:rPr>
            </w:pPr>
            <w:r w:rsidRPr="00CE121E">
              <w:rPr>
                <w:rFonts w:ascii="Gill Sans MT" w:hAnsi="Gill Sans MT"/>
                <w:b/>
                <w:bCs/>
                <w:sz w:val="24"/>
                <w:szCs w:val="24"/>
              </w:rPr>
              <w:t>Communal areas</w:t>
            </w:r>
          </w:p>
        </w:tc>
        <w:tc>
          <w:tcPr>
            <w:tcW w:w="3121" w:type="dxa"/>
            <w:shd w:val="clear" w:color="auto" w:fill="00B0F0"/>
          </w:tcPr>
          <w:p w14:paraId="26E3D1AE" w14:textId="77777777" w:rsidR="00CE121E" w:rsidRPr="00CE121E" w:rsidRDefault="00CE121E" w:rsidP="002C0E2A">
            <w:pPr>
              <w:jc w:val="center"/>
              <w:rPr>
                <w:rFonts w:ascii="Gill Sans MT" w:hAnsi="Gill Sans MT"/>
                <w:b/>
                <w:bCs/>
                <w:sz w:val="24"/>
                <w:szCs w:val="24"/>
              </w:rPr>
            </w:pPr>
            <w:r w:rsidRPr="00CE121E">
              <w:rPr>
                <w:rFonts w:ascii="Gill Sans MT" w:hAnsi="Gill Sans MT"/>
                <w:b/>
                <w:bCs/>
                <w:sz w:val="24"/>
                <w:szCs w:val="24"/>
              </w:rPr>
              <w:t>Housing Management</w:t>
            </w:r>
          </w:p>
        </w:tc>
      </w:tr>
      <w:tr w:rsidR="00CE121E" w:rsidRPr="00CE121E" w14:paraId="7054705C" w14:textId="77777777" w:rsidTr="002C0E2A">
        <w:tc>
          <w:tcPr>
            <w:tcW w:w="3120" w:type="dxa"/>
          </w:tcPr>
          <w:p w14:paraId="675C441A" w14:textId="77777777" w:rsidR="00CE121E" w:rsidRPr="00CE121E" w:rsidRDefault="00CE121E" w:rsidP="002C0E2A">
            <w:pPr>
              <w:jc w:val="center"/>
              <w:rPr>
                <w:rFonts w:ascii="Gill Sans MT" w:hAnsi="Gill Sans MT"/>
                <w:sz w:val="24"/>
                <w:szCs w:val="24"/>
              </w:rPr>
            </w:pPr>
            <w:r w:rsidRPr="00CE121E">
              <w:rPr>
                <w:rFonts w:ascii="Gill Sans MT" w:hAnsi="Gill Sans MT"/>
                <w:sz w:val="24"/>
                <w:szCs w:val="24"/>
              </w:rPr>
              <w:t>2</w:t>
            </w:r>
          </w:p>
        </w:tc>
        <w:tc>
          <w:tcPr>
            <w:tcW w:w="3121" w:type="dxa"/>
          </w:tcPr>
          <w:p w14:paraId="59AD81AB" w14:textId="77777777" w:rsidR="00CE121E" w:rsidRPr="00CE121E" w:rsidRDefault="00CE121E" w:rsidP="002C0E2A">
            <w:pPr>
              <w:jc w:val="center"/>
              <w:rPr>
                <w:rFonts w:ascii="Gill Sans MT" w:hAnsi="Gill Sans MT"/>
                <w:sz w:val="24"/>
                <w:szCs w:val="24"/>
              </w:rPr>
            </w:pPr>
            <w:r w:rsidRPr="00CE121E">
              <w:rPr>
                <w:rFonts w:ascii="Gill Sans MT" w:hAnsi="Gill Sans MT"/>
                <w:sz w:val="24"/>
                <w:szCs w:val="24"/>
              </w:rPr>
              <w:t>1</w:t>
            </w:r>
          </w:p>
        </w:tc>
      </w:tr>
    </w:tbl>
    <w:p w14:paraId="72676132" w14:textId="77777777" w:rsidR="00CE121E" w:rsidRPr="00CE121E" w:rsidRDefault="00CE121E" w:rsidP="00CE121E">
      <w:pPr>
        <w:rPr>
          <w:rFonts w:ascii="Gill Sans MT" w:hAnsi="Gill Sans MT"/>
          <w:sz w:val="24"/>
          <w:szCs w:val="24"/>
        </w:rPr>
      </w:pPr>
    </w:p>
    <w:p w14:paraId="0308AB09" w14:textId="77777777" w:rsidR="00CE121E" w:rsidRPr="00CE121E" w:rsidRDefault="00CE121E" w:rsidP="00CE121E">
      <w:pPr>
        <w:rPr>
          <w:rFonts w:ascii="Gill Sans MT" w:hAnsi="Gill Sans MT"/>
          <w:b/>
          <w:bCs/>
          <w:sz w:val="24"/>
          <w:szCs w:val="24"/>
        </w:rPr>
      </w:pPr>
      <w:r w:rsidRPr="00CE121E">
        <w:rPr>
          <w:rFonts w:ascii="Gill Sans MT" w:hAnsi="Gill Sans MT"/>
          <w:b/>
          <w:bCs/>
          <w:sz w:val="24"/>
          <w:szCs w:val="24"/>
        </w:rPr>
        <w:t xml:space="preserve">Stage 1 complaints </w:t>
      </w:r>
    </w:p>
    <w:tbl>
      <w:tblPr>
        <w:tblStyle w:val="TableGrid"/>
        <w:tblW w:w="0" w:type="auto"/>
        <w:tblLook w:val="04A0" w:firstRow="1" w:lastRow="0" w:firstColumn="1" w:lastColumn="0" w:noHBand="0" w:noVBand="1"/>
      </w:tblPr>
      <w:tblGrid>
        <w:gridCol w:w="939"/>
        <w:gridCol w:w="676"/>
        <w:gridCol w:w="1203"/>
        <w:gridCol w:w="1245"/>
        <w:gridCol w:w="1302"/>
        <w:gridCol w:w="1484"/>
        <w:gridCol w:w="826"/>
        <w:gridCol w:w="1341"/>
      </w:tblGrid>
      <w:tr w:rsidR="00CE121E" w:rsidRPr="00CE121E" w14:paraId="7E53974D" w14:textId="77777777" w:rsidTr="002C0E2A">
        <w:tc>
          <w:tcPr>
            <w:tcW w:w="1162" w:type="dxa"/>
            <w:shd w:val="clear" w:color="auto" w:fill="00B0F0"/>
          </w:tcPr>
          <w:p w14:paraId="7E963316" w14:textId="77777777" w:rsidR="00CE121E" w:rsidRPr="00CE121E" w:rsidRDefault="00CE121E" w:rsidP="002C0E2A">
            <w:pPr>
              <w:rPr>
                <w:rFonts w:ascii="Gill Sans MT" w:hAnsi="Gill Sans MT"/>
                <w:b/>
                <w:bCs/>
                <w:sz w:val="24"/>
                <w:szCs w:val="24"/>
              </w:rPr>
            </w:pPr>
            <w:r w:rsidRPr="00CE121E">
              <w:rPr>
                <w:rFonts w:ascii="Gill Sans MT" w:hAnsi="Gill Sans MT"/>
                <w:b/>
                <w:bCs/>
                <w:sz w:val="24"/>
                <w:szCs w:val="24"/>
              </w:rPr>
              <w:t xml:space="preserve">Repairs </w:t>
            </w:r>
          </w:p>
        </w:tc>
        <w:tc>
          <w:tcPr>
            <w:tcW w:w="1088" w:type="dxa"/>
            <w:shd w:val="clear" w:color="auto" w:fill="00B0F0"/>
          </w:tcPr>
          <w:p w14:paraId="6332C363" w14:textId="77777777" w:rsidR="00CE121E" w:rsidRPr="00CE121E" w:rsidRDefault="00CE121E" w:rsidP="002C0E2A">
            <w:pPr>
              <w:rPr>
                <w:rFonts w:ascii="Gill Sans MT" w:hAnsi="Gill Sans MT"/>
                <w:b/>
                <w:bCs/>
                <w:sz w:val="24"/>
                <w:szCs w:val="24"/>
              </w:rPr>
            </w:pPr>
            <w:r w:rsidRPr="00CE121E">
              <w:rPr>
                <w:rFonts w:ascii="Gill Sans MT" w:hAnsi="Gill Sans MT"/>
                <w:b/>
                <w:bCs/>
                <w:sz w:val="24"/>
                <w:szCs w:val="24"/>
              </w:rPr>
              <w:t xml:space="preserve">Rent </w:t>
            </w:r>
          </w:p>
        </w:tc>
        <w:tc>
          <w:tcPr>
            <w:tcW w:w="1207" w:type="dxa"/>
            <w:shd w:val="clear" w:color="auto" w:fill="00B0F0"/>
          </w:tcPr>
          <w:p w14:paraId="2D7E8934" w14:textId="77777777" w:rsidR="00CE121E" w:rsidRPr="00CE121E" w:rsidRDefault="00CE121E" w:rsidP="002C0E2A">
            <w:pPr>
              <w:rPr>
                <w:rFonts w:ascii="Gill Sans MT" w:hAnsi="Gill Sans MT"/>
                <w:b/>
                <w:bCs/>
                <w:sz w:val="24"/>
                <w:szCs w:val="24"/>
              </w:rPr>
            </w:pPr>
            <w:r w:rsidRPr="00CE121E">
              <w:rPr>
                <w:rFonts w:ascii="Gill Sans MT" w:hAnsi="Gill Sans MT"/>
                <w:b/>
                <w:bCs/>
                <w:sz w:val="24"/>
                <w:szCs w:val="24"/>
              </w:rPr>
              <w:t xml:space="preserve">Staff Behaviour </w:t>
            </w:r>
          </w:p>
        </w:tc>
        <w:tc>
          <w:tcPr>
            <w:tcW w:w="1241" w:type="dxa"/>
            <w:shd w:val="clear" w:color="auto" w:fill="00B0F0"/>
          </w:tcPr>
          <w:p w14:paraId="6A625A5E" w14:textId="77777777" w:rsidR="00CE121E" w:rsidRPr="00CE121E" w:rsidRDefault="00CE121E" w:rsidP="002C0E2A">
            <w:pPr>
              <w:rPr>
                <w:rFonts w:ascii="Gill Sans MT" w:hAnsi="Gill Sans MT"/>
                <w:b/>
                <w:bCs/>
                <w:sz w:val="24"/>
                <w:szCs w:val="24"/>
              </w:rPr>
            </w:pPr>
            <w:r w:rsidRPr="00CE121E">
              <w:rPr>
                <w:rFonts w:ascii="Gill Sans MT" w:hAnsi="Gill Sans MT"/>
                <w:b/>
                <w:bCs/>
                <w:sz w:val="24"/>
                <w:szCs w:val="24"/>
              </w:rPr>
              <w:t xml:space="preserve">Complaint handling </w:t>
            </w:r>
          </w:p>
        </w:tc>
        <w:tc>
          <w:tcPr>
            <w:tcW w:w="1258" w:type="dxa"/>
            <w:shd w:val="clear" w:color="auto" w:fill="00B0F0"/>
          </w:tcPr>
          <w:p w14:paraId="5A31B71E" w14:textId="77777777" w:rsidR="00CE121E" w:rsidRPr="00CE121E" w:rsidRDefault="00CE121E" w:rsidP="002C0E2A">
            <w:pPr>
              <w:rPr>
                <w:rFonts w:ascii="Gill Sans MT" w:hAnsi="Gill Sans MT"/>
                <w:b/>
                <w:bCs/>
                <w:sz w:val="24"/>
                <w:szCs w:val="24"/>
              </w:rPr>
            </w:pPr>
            <w:r w:rsidRPr="00CE121E">
              <w:rPr>
                <w:rFonts w:ascii="Gill Sans MT" w:hAnsi="Gill Sans MT"/>
                <w:b/>
                <w:bCs/>
                <w:sz w:val="24"/>
                <w:szCs w:val="24"/>
              </w:rPr>
              <w:t xml:space="preserve">Communal areas </w:t>
            </w:r>
          </w:p>
        </w:tc>
        <w:tc>
          <w:tcPr>
            <w:tcW w:w="1328" w:type="dxa"/>
            <w:shd w:val="clear" w:color="auto" w:fill="00B0F0"/>
          </w:tcPr>
          <w:p w14:paraId="404AD41D" w14:textId="77777777" w:rsidR="00CE121E" w:rsidRPr="00CE121E" w:rsidRDefault="00CE121E" w:rsidP="002C0E2A">
            <w:pPr>
              <w:rPr>
                <w:rFonts w:ascii="Gill Sans MT" w:hAnsi="Gill Sans MT"/>
                <w:b/>
                <w:bCs/>
                <w:sz w:val="24"/>
                <w:szCs w:val="24"/>
              </w:rPr>
            </w:pPr>
            <w:r w:rsidRPr="00CE121E">
              <w:rPr>
                <w:rFonts w:ascii="Gill Sans MT" w:hAnsi="Gill Sans MT"/>
                <w:b/>
                <w:bCs/>
                <w:sz w:val="24"/>
                <w:szCs w:val="24"/>
              </w:rPr>
              <w:t xml:space="preserve">Housing Management </w:t>
            </w:r>
          </w:p>
        </w:tc>
        <w:tc>
          <w:tcPr>
            <w:tcW w:w="1116" w:type="dxa"/>
            <w:shd w:val="clear" w:color="auto" w:fill="00B0F0"/>
          </w:tcPr>
          <w:p w14:paraId="11B82AB0" w14:textId="77777777" w:rsidR="00CE121E" w:rsidRPr="00CE121E" w:rsidRDefault="00CE121E" w:rsidP="002C0E2A">
            <w:pPr>
              <w:rPr>
                <w:rFonts w:ascii="Gill Sans MT" w:hAnsi="Gill Sans MT"/>
                <w:b/>
                <w:bCs/>
                <w:sz w:val="24"/>
                <w:szCs w:val="24"/>
              </w:rPr>
            </w:pPr>
            <w:r w:rsidRPr="00CE121E">
              <w:rPr>
                <w:rFonts w:ascii="Gill Sans MT" w:hAnsi="Gill Sans MT"/>
                <w:b/>
                <w:bCs/>
                <w:sz w:val="24"/>
                <w:szCs w:val="24"/>
              </w:rPr>
              <w:t>GDPR</w:t>
            </w:r>
          </w:p>
        </w:tc>
        <w:tc>
          <w:tcPr>
            <w:tcW w:w="962" w:type="dxa"/>
            <w:shd w:val="clear" w:color="auto" w:fill="00B0F0"/>
          </w:tcPr>
          <w:p w14:paraId="614A66B8" w14:textId="77777777" w:rsidR="00CE121E" w:rsidRPr="00CE121E" w:rsidRDefault="00CE121E" w:rsidP="002C0E2A">
            <w:pPr>
              <w:rPr>
                <w:rFonts w:ascii="Gill Sans MT" w:hAnsi="Gill Sans MT"/>
                <w:b/>
                <w:bCs/>
                <w:sz w:val="24"/>
                <w:szCs w:val="24"/>
              </w:rPr>
            </w:pPr>
            <w:r w:rsidRPr="00CE121E">
              <w:rPr>
                <w:rFonts w:ascii="Gill Sans MT" w:hAnsi="Gill Sans MT"/>
                <w:b/>
                <w:bCs/>
                <w:sz w:val="24"/>
                <w:szCs w:val="24"/>
              </w:rPr>
              <w:t xml:space="preserve">External contractors </w:t>
            </w:r>
          </w:p>
        </w:tc>
      </w:tr>
      <w:tr w:rsidR="00CE121E" w:rsidRPr="00CE121E" w14:paraId="1DBFABA0" w14:textId="77777777" w:rsidTr="002C0E2A">
        <w:tc>
          <w:tcPr>
            <w:tcW w:w="1162" w:type="dxa"/>
          </w:tcPr>
          <w:p w14:paraId="67E06BD7" w14:textId="77777777" w:rsidR="00CE121E" w:rsidRPr="00CE121E" w:rsidRDefault="00CE121E" w:rsidP="002C0E2A">
            <w:pPr>
              <w:jc w:val="center"/>
              <w:rPr>
                <w:rFonts w:ascii="Gill Sans MT" w:hAnsi="Gill Sans MT"/>
                <w:sz w:val="24"/>
                <w:szCs w:val="24"/>
              </w:rPr>
            </w:pPr>
            <w:r w:rsidRPr="00CE121E">
              <w:rPr>
                <w:rFonts w:ascii="Gill Sans MT" w:hAnsi="Gill Sans MT"/>
                <w:sz w:val="24"/>
                <w:szCs w:val="24"/>
              </w:rPr>
              <w:t>5</w:t>
            </w:r>
          </w:p>
        </w:tc>
        <w:tc>
          <w:tcPr>
            <w:tcW w:w="1088" w:type="dxa"/>
          </w:tcPr>
          <w:p w14:paraId="27961583" w14:textId="77777777" w:rsidR="00CE121E" w:rsidRPr="00CE121E" w:rsidRDefault="00CE121E" w:rsidP="002C0E2A">
            <w:pPr>
              <w:jc w:val="center"/>
              <w:rPr>
                <w:rFonts w:ascii="Gill Sans MT" w:hAnsi="Gill Sans MT"/>
                <w:sz w:val="24"/>
                <w:szCs w:val="24"/>
              </w:rPr>
            </w:pPr>
            <w:r w:rsidRPr="00CE121E">
              <w:rPr>
                <w:rFonts w:ascii="Gill Sans MT" w:hAnsi="Gill Sans MT"/>
                <w:sz w:val="24"/>
                <w:szCs w:val="24"/>
              </w:rPr>
              <w:t>1</w:t>
            </w:r>
          </w:p>
        </w:tc>
        <w:tc>
          <w:tcPr>
            <w:tcW w:w="1207" w:type="dxa"/>
          </w:tcPr>
          <w:p w14:paraId="43C4067A" w14:textId="77777777" w:rsidR="00CE121E" w:rsidRPr="00CE121E" w:rsidRDefault="00CE121E" w:rsidP="002C0E2A">
            <w:pPr>
              <w:jc w:val="center"/>
              <w:rPr>
                <w:rFonts w:ascii="Gill Sans MT" w:hAnsi="Gill Sans MT"/>
                <w:sz w:val="24"/>
                <w:szCs w:val="24"/>
              </w:rPr>
            </w:pPr>
            <w:r w:rsidRPr="00CE121E">
              <w:rPr>
                <w:rFonts w:ascii="Gill Sans MT" w:hAnsi="Gill Sans MT"/>
                <w:sz w:val="24"/>
                <w:szCs w:val="24"/>
              </w:rPr>
              <w:t>2</w:t>
            </w:r>
          </w:p>
        </w:tc>
        <w:tc>
          <w:tcPr>
            <w:tcW w:w="1241" w:type="dxa"/>
          </w:tcPr>
          <w:p w14:paraId="52393F86" w14:textId="77777777" w:rsidR="00CE121E" w:rsidRPr="00CE121E" w:rsidRDefault="00CE121E" w:rsidP="002C0E2A">
            <w:pPr>
              <w:jc w:val="center"/>
              <w:rPr>
                <w:rFonts w:ascii="Gill Sans MT" w:hAnsi="Gill Sans MT"/>
                <w:sz w:val="24"/>
                <w:szCs w:val="24"/>
              </w:rPr>
            </w:pPr>
            <w:r w:rsidRPr="00CE121E">
              <w:rPr>
                <w:rFonts w:ascii="Gill Sans MT" w:hAnsi="Gill Sans MT"/>
                <w:sz w:val="24"/>
                <w:szCs w:val="24"/>
              </w:rPr>
              <w:t>1</w:t>
            </w:r>
          </w:p>
        </w:tc>
        <w:tc>
          <w:tcPr>
            <w:tcW w:w="1258" w:type="dxa"/>
          </w:tcPr>
          <w:p w14:paraId="7946E346" w14:textId="77777777" w:rsidR="00CE121E" w:rsidRPr="00CE121E" w:rsidRDefault="00CE121E" w:rsidP="002C0E2A">
            <w:pPr>
              <w:jc w:val="center"/>
              <w:rPr>
                <w:rFonts w:ascii="Gill Sans MT" w:hAnsi="Gill Sans MT"/>
                <w:sz w:val="24"/>
                <w:szCs w:val="24"/>
              </w:rPr>
            </w:pPr>
            <w:r w:rsidRPr="00CE121E">
              <w:rPr>
                <w:rFonts w:ascii="Gill Sans MT" w:hAnsi="Gill Sans MT"/>
                <w:sz w:val="24"/>
                <w:szCs w:val="24"/>
              </w:rPr>
              <w:t>3</w:t>
            </w:r>
          </w:p>
        </w:tc>
        <w:tc>
          <w:tcPr>
            <w:tcW w:w="1328" w:type="dxa"/>
          </w:tcPr>
          <w:p w14:paraId="2F89EE57" w14:textId="77777777" w:rsidR="00CE121E" w:rsidRPr="00CE121E" w:rsidRDefault="00CE121E" w:rsidP="002C0E2A">
            <w:pPr>
              <w:jc w:val="center"/>
              <w:rPr>
                <w:rFonts w:ascii="Gill Sans MT" w:hAnsi="Gill Sans MT"/>
                <w:sz w:val="24"/>
                <w:szCs w:val="24"/>
              </w:rPr>
            </w:pPr>
            <w:r w:rsidRPr="00CE121E">
              <w:rPr>
                <w:rFonts w:ascii="Gill Sans MT" w:hAnsi="Gill Sans MT"/>
                <w:sz w:val="24"/>
                <w:szCs w:val="24"/>
              </w:rPr>
              <w:t>1</w:t>
            </w:r>
          </w:p>
        </w:tc>
        <w:tc>
          <w:tcPr>
            <w:tcW w:w="1116" w:type="dxa"/>
          </w:tcPr>
          <w:p w14:paraId="59894776" w14:textId="77777777" w:rsidR="00CE121E" w:rsidRPr="00CE121E" w:rsidRDefault="00CE121E" w:rsidP="002C0E2A">
            <w:pPr>
              <w:jc w:val="center"/>
              <w:rPr>
                <w:rFonts w:ascii="Gill Sans MT" w:hAnsi="Gill Sans MT"/>
                <w:sz w:val="24"/>
                <w:szCs w:val="24"/>
              </w:rPr>
            </w:pPr>
            <w:r w:rsidRPr="00CE121E">
              <w:rPr>
                <w:rFonts w:ascii="Gill Sans MT" w:hAnsi="Gill Sans MT"/>
                <w:sz w:val="24"/>
                <w:szCs w:val="24"/>
              </w:rPr>
              <w:t>1</w:t>
            </w:r>
          </w:p>
        </w:tc>
        <w:tc>
          <w:tcPr>
            <w:tcW w:w="962" w:type="dxa"/>
          </w:tcPr>
          <w:p w14:paraId="02875B21" w14:textId="77777777" w:rsidR="00CE121E" w:rsidRPr="00CE121E" w:rsidRDefault="00CE121E" w:rsidP="002C0E2A">
            <w:pPr>
              <w:jc w:val="center"/>
              <w:rPr>
                <w:rFonts w:ascii="Gill Sans MT" w:hAnsi="Gill Sans MT"/>
                <w:sz w:val="24"/>
                <w:szCs w:val="24"/>
              </w:rPr>
            </w:pPr>
            <w:r w:rsidRPr="00CE121E">
              <w:rPr>
                <w:rFonts w:ascii="Gill Sans MT" w:hAnsi="Gill Sans MT"/>
                <w:sz w:val="24"/>
                <w:szCs w:val="24"/>
              </w:rPr>
              <w:t>1</w:t>
            </w:r>
          </w:p>
        </w:tc>
      </w:tr>
    </w:tbl>
    <w:p w14:paraId="5D27DA2A" w14:textId="77777777" w:rsidR="00CE121E" w:rsidRPr="00CE121E" w:rsidRDefault="00CE121E" w:rsidP="00CE121E">
      <w:pPr>
        <w:rPr>
          <w:rFonts w:ascii="Gill Sans MT" w:hAnsi="Gill Sans MT"/>
          <w:b/>
          <w:bCs/>
          <w:sz w:val="24"/>
          <w:szCs w:val="24"/>
        </w:rPr>
      </w:pPr>
    </w:p>
    <w:p w14:paraId="5CE96136" w14:textId="77777777" w:rsidR="00CE121E" w:rsidRPr="00CE121E" w:rsidRDefault="00CE121E" w:rsidP="00CE121E">
      <w:pPr>
        <w:rPr>
          <w:rFonts w:ascii="Gill Sans MT" w:hAnsi="Gill Sans MT"/>
          <w:b/>
          <w:bCs/>
          <w:sz w:val="24"/>
          <w:szCs w:val="24"/>
        </w:rPr>
      </w:pPr>
      <w:r w:rsidRPr="00CE121E">
        <w:rPr>
          <w:rFonts w:ascii="Gill Sans MT" w:hAnsi="Gill Sans MT"/>
          <w:b/>
          <w:bCs/>
          <w:sz w:val="24"/>
          <w:szCs w:val="24"/>
        </w:rPr>
        <w:t xml:space="preserve">Stage 2 Complaints </w:t>
      </w:r>
    </w:p>
    <w:tbl>
      <w:tblPr>
        <w:tblStyle w:val="TableGrid"/>
        <w:tblW w:w="0" w:type="auto"/>
        <w:tblLook w:val="04A0" w:firstRow="1" w:lastRow="0" w:firstColumn="1" w:lastColumn="0" w:noHBand="0" w:noVBand="1"/>
      </w:tblPr>
      <w:tblGrid>
        <w:gridCol w:w="1028"/>
        <w:gridCol w:w="1476"/>
        <w:gridCol w:w="1063"/>
      </w:tblGrid>
      <w:tr w:rsidR="00CE121E" w:rsidRPr="00CE121E" w14:paraId="23511A50" w14:textId="77777777" w:rsidTr="002C0E2A">
        <w:tc>
          <w:tcPr>
            <w:tcW w:w="1028" w:type="dxa"/>
            <w:shd w:val="clear" w:color="auto" w:fill="00B0F0"/>
          </w:tcPr>
          <w:p w14:paraId="00433A4D" w14:textId="77777777" w:rsidR="00CE121E" w:rsidRPr="00CE121E" w:rsidRDefault="00CE121E" w:rsidP="002C0E2A">
            <w:pPr>
              <w:rPr>
                <w:rFonts w:ascii="Gill Sans MT" w:hAnsi="Gill Sans MT"/>
                <w:b/>
                <w:bCs/>
                <w:sz w:val="24"/>
                <w:szCs w:val="24"/>
              </w:rPr>
            </w:pPr>
            <w:r w:rsidRPr="00CE121E">
              <w:rPr>
                <w:rFonts w:ascii="Gill Sans MT" w:hAnsi="Gill Sans MT"/>
                <w:b/>
                <w:bCs/>
                <w:sz w:val="24"/>
                <w:szCs w:val="24"/>
              </w:rPr>
              <w:t xml:space="preserve">Rent </w:t>
            </w:r>
          </w:p>
        </w:tc>
        <w:tc>
          <w:tcPr>
            <w:tcW w:w="1241" w:type="dxa"/>
            <w:shd w:val="clear" w:color="auto" w:fill="00B0F0"/>
          </w:tcPr>
          <w:p w14:paraId="2E203BBE" w14:textId="77777777" w:rsidR="00CE121E" w:rsidRPr="00CE121E" w:rsidRDefault="00CE121E" w:rsidP="002C0E2A">
            <w:pPr>
              <w:rPr>
                <w:rFonts w:ascii="Gill Sans MT" w:hAnsi="Gill Sans MT"/>
                <w:b/>
                <w:bCs/>
                <w:sz w:val="24"/>
                <w:szCs w:val="24"/>
              </w:rPr>
            </w:pPr>
            <w:r w:rsidRPr="00CE121E">
              <w:rPr>
                <w:rFonts w:ascii="Gill Sans MT" w:hAnsi="Gill Sans MT"/>
                <w:b/>
                <w:bCs/>
                <w:sz w:val="24"/>
                <w:szCs w:val="24"/>
              </w:rPr>
              <w:t xml:space="preserve">Communal areas </w:t>
            </w:r>
          </w:p>
        </w:tc>
        <w:tc>
          <w:tcPr>
            <w:tcW w:w="1063" w:type="dxa"/>
            <w:shd w:val="clear" w:color="auto" w:fill="00B0F0"/>
          </w:tcPr>
          <w:p w14:paraId="25A0C277" w14:textId="77777777" w:rsidR="00CE121E" w:rsidRPr="00CE121E" w:rsidRDefault="00CE121E" w:rsidP="002C0E2A">
            <w:pPr>
              <w:rPr>
                <w:rFonts w:ascii="Gill Sans MT" w:hAnsi="Gill Sans MT"/>
                <w:b/>
                <w:bCs/>
                <w:sz w:val="24"/>
                <w:szCs w:val="24"/>
              </w:rPr>
            </w:pPr>
            <w:r w:rsidRPr="00CE121E">
              <w:rPr>
                <w:rFonts w:ascii="Gill Sans MT" w:hAnsi="Gill Sans MT"/>
                <w:b/>
                <w:bCs/>
                <w:sz w:val="24"/>
                <w:szCs w:val="24"/>
              </w:rPr>
              <w:t>GDPR</w:t>
            </w:r>
          </w:p>
        </w:tc>
      </w:tr>
      <w:tr w:rsidR="00CE121E" w:rsidRPr="00CE121E" w14:paraId="5E9758B3" w14:textId="77777777" w:rsidTr="002C0E2A">
        <w:tc>
          <w:tcPr>
            <w:tcW w:w="1028" w:type="dxa"/>
          </w:tcPr>
          <w:p w14:paraId="796B22AF" w14:textId="77777777" w:rsidR="00CE121E" w:rsidRPr="00CE121E" w:rsidRDefault="00CE121E" w:rsidP="002C0E2A">
            <w:pPr>
              <w:jc w:val="center"/>
              <w:rPr>
                <w:rFonts w:ascii="Gill Sans MT" w:hAnsi="Gill Sans MT"/>
                <w:sz w:val="24"/>
                <w:szCs w:val="24"/>
              </w:rPr>
            </w:pPr>
            <w:r w:rsidRPr="00CE121E">
              <w:rPr>
                <w:rFonts w:ascii="Gill Sans MT" w:hAnsi="Gill Sans MT"/>
                <w:sz w:val="24"/>
                <w:szCs w:val="24"/>
              </w:rPr>
              <w:t>1</w:t>
            </w:r>
          </w:p>
        </w:tc>
        <w:tc>
          <w:tcPr>
            <w:tcW w:w="1241" w:type="dxa"/>
          </w:tcPr>
          <w:p w14:paraId="1E1E998C" w14:textId="77777777" w:rsidR="00CE121E" w:rsidRPr="00CE121E" w:rsidRDefault="00CE121E" w:rsidP="002C0E2A">
            <w:pPr>
              <w:jc w:val="center"/>
              <w:rPr>
                <w:rFonts w:ascii="Gill Sans MT" w:hAnsi="Gill Sans MT"/>
                <w:sz w:val="24"/>
                <w:szCs w:val="24"/>
              </w:rPr>
            </w:pPr>
            <w:r w:rsidRPr="00CE121E">
              <w:rPr>
                <w:rFonts w:ascii="Gill Sans MT" w:hAnsi="Gill Sans MT"/>
                <w:sz w:val="24"/>
                <w:szCs w:val="24"/>
              </w:rPr>
              <w:t>1</w:t>
            </w:r>
          </w:p>
        </w:tc>
        <w:tc>
          <w:tcPr>
            <w:tcW w:w="1063" w:type="dxa"/>
          </w:tcPr>
          <w:p w14:paraId="16F56102" w14:textId="77777777" w:rsidR="00CE121E" w:rsidRPr="00CE121E" w:rsidRDefault="00CE121E" w:rsidP="002C0E2A">
            <w:pPr>
              <w:jc w:val="center"/>
              <w:rPr>
                <w:rFonts w:ascii="Gill Sans MT" w:hAnsi="Gill Sans MT"/>
                <w:sz w:val="24"/>
                <w:szCs w:val="24"/>
              </w:rPr>
            </w:pPr>
            <w:r w:rsidRPr="00CE121E">
              <w:rPr>
                <w:rFonts w:ascii="Gill Sans MT" w:hAnsi="Gill Sans MT"/>
                <w:sz w:val="24"/>
                <w:szCs w:val="24"/>
              </w:rPr>
              <w:t>1</w:t>
            </w:r>
          </w:p>
        </w:tc>
      </w:tr>
    </w:tbl>
    <w:p w14:paraId="6F32B619" w14:textId="77777777" w:rsidR="00CE121E" w:rsidRPr="00CE121E" w:rsidRDefault="00CE121E" w:rsidP="00CE121E">
      <w:pPr>
        <w:rPr>
          <w:rFonts w:ascii="Gill Sans MT" w:hAnsi="Gill Sans MT"/>
          <w:b/>
          <w:bCs/>
          <w:sz w:val="24"/>
          <w:szCs w:val="24"/>
        </w:rPr>
      </w:pPr>
    </w:p>
    <w:p w14:paraId="0780CC94" w14:textId="0C6B3F43" w:rsidR="00CE121E" w:rsidRPr="00CE121E" w:rsidRDefault="00CE121E" w:rsidP="00CE121E">
      <w:pPr>
        <w:rPr>
          <w:rFonts w:ascii="Gill Sans MT" w:hAnsi="Gill Sans MT"/>
          <w:b/>
          <w:bCs/>
          <w:sz w:val="24"/>
          <w:szCs w:val="24"/>
        </w:rPr>
      </w:pPr>
      <w:r w:rsidRPr="00CE121E">
        <w:rPr>
          <w:rFonts w:ascii="Gill Sans MT" w:hAnsi="Gill Sans MT"/>
          <w:b/>
          <w:bCs/>
          <w:sz w:val="24"/>
          <w:szCs w:val="24"/>
        </w:rPr>
        <w:t xml:space="preserve">2.0 Housing Ombudsman Complaints </w:t>
      </w:r>
    </w:p>
    <w:p w14:paraId="73350807" w14:textId="77777777" w:rsidR="00CE121E" w:rsidRPr="00CE121E" w:rsidRDefault="00CE121E" w:rsidP="00CE121E">
      <w:pPr>
        <w:pStyle w:val="ListParagraph"/>
        <w:numPr>
          <w:ilvl w:val="0"/>
          <w:numId w:val="3"/>
        </w:numPr>
        <w:spacing w:after="200" w:line="276" w:lineRule="auto"/>
        <w:rPr>
          <w:rFonts w:ascii="Gill Sans MT" w:hAnsi="Gill Sans MT"/>
          <w:b/>
          <w:bCs/>
          <w:sz w:val="24"/>
          <w:szCs w:val="24"/>
        </w:rPr>
      </w:pPr>
      <w:r w:rsidRPr="00CE121E">
        <w:rPr>
          <w:rFonts w:ascii="Gill Sans MT" w:hAnsi="Gill Sans MT"/>
          <w:b/>
          <w:bCs/>
          <w:sz w:val="24"/>
          <w:szCs w:val="24"/>
        </w:rPr>
        <w:t>Case 1. Delays in Repairs and complaint handling 24-25.</w:t>
      </w:r>
    </w:p>
    <w:p w14:paraId="5481F292" w14:textId="77777777" w:rsidR="00CE121E" w:rsidRPr="00CE121E" w:rsidRDefault="00CE121E" w:rsidP="00CE121E">
      <w:pPr>
        <w:pStyle w:val="ListParagraph"/>
        <w:jc w:val="both"/>
        <w:rPr>
          <w:rFonts w:ascii="Gill Sans MT" w:hAnsi="Gill Sans MT"/>
          <w:sz w:val="24"/>
          <w:szCs w:val="24"/>
        </w:rPr>
      </w:pPr>
      <w:r w:rsidRPr="00CE121E">
        <w:rPr>
          <w:rFonts w:ascii="Gill Sans MT" w:hAnsi="Gill Sans MT"/>
          <w:sz w:val="24"/>
          <w:szCs w:val="24"/>
        </w:rPr>
        <w:t xml:space="preserve">The determination from the Housing Ombudsman did not find any maladministration on how BHA managed the repairs, they determined that the timelines for complaint handling were outside of the handling code and BHA were ordered to pay £400.00 to the tenant. </w:t>
      </w:r>
    </w:p>
    <w:p w14:paraId="1843B8F6" w14:textId="77777777" w:rsidR="00CE121E" w:rsidRPr="00CE121E" w:rsidRDefault="00CE121E" w:rsidP="00CE121E">
      <w:pPr>
        <w:pStyle w:val="ListParagraph"/>
        <w:numPr>
          <w:ilvl w:val="0"/>
          <w:numId w:val="3"/>
        </w:numPr>
        <w:spacing w:after="200" w:line="276" w:lineRule="auto"/>
        <w:jc w:val="both"/>
        <w:rPr>
          <w:rFonts w:ascii="Gill Sans MT" w:hAnsi="Gill Sans MT"/>
          <w:b/>
          <w:bCs/>
          <w:sz w:val="24"/>
          <w:szCs w:val="24"/>
        </w:rPr>
      </w:pPr>
      <w:r w:rsidRPr="00CE121E">
        <w:rPr>
          <w:rFonts w:ascii="Gill Sans MT" w:hAnsi="Gill Sans MT"/>
          <w:b/>
          <w:bCs/>
          <w:sz w:val="24"/>
          <w:szCs w:val="24"/>
        </w:rPr>
        <w:t>Case 2. Repairs and complaint handling 24-25.</w:t>
      </w:r>
    </w:p>
    <w:p w14:paraId="791B7ABF" w14:textId="77777777" w:rsidR="00CE121E" w:rsidRPr="00CE121E" w:rsidRDefault="00CE121E" w:rsidP="00CE121E">
      <w:pPr>
        <w:pStyle w:val="ListParagraph"/>
        <w:jc w:val="both"/>
        <w:rPr>
          <w:rFonts w:ascii="Gill Sans MT" w:hAnsi="Gill Sans MT"/>
          <w:sz w:val="24"/>
          <w:szCs w:val="24"/>
        </w:rPr>
      </w:pPr>
      <w:r w:rsidRPr="00CE121E">
        <w:rPr>
          <w:rFonts w:ascii="Gill Sans MT" w:hAnsi="Gill Sans MT"/>
          <w:sz w:val="24"/>
          <w:szCs w:val="24"/>
        </w:rPr>
        <w:t xml:space="preserve">This is still be determined by the Housing Ombudsman </w:t>
      </w:r>
    </w:p>
    <w:p w14:paraId="2E40F93C" w14:textId="77777777" w:rsidR="00CE121E" w:rsidRPr="00CE121E" w:rsidRDefault="00CE121E" w:rsidP="00CE121E">
      <w:pPr>
        <w:pStyle w:val="ListParagraph"/>
        <w:rPr>
          <w:rFonts w:ascii="Gill Sans MT" w:hAnsi="Gill Sans MT"/>
          <w:sz w:val="24"/>
          <w:szCs w:val="24"/>
        </w:rPr>
      </w:pPr>
    </w:p>
    <w:p w14:paraId="0DA6326A" w14:textId="77777777" w:rsidR="00CE121E" w:rsidRPr="00CE121E" w:rsidRDefault="00CE121E" w:rsidP="00CE121E">
      <w:pPr>
        <w:pStyle w:val="ListParagraph"/>
        <w:rPr>
          <w:rFonts w:ascii="Gill Sans MT" w:hAnsi="Gill Sans MT"/>
          <w:b/>
          <w:bCs/>
          <w:sz w:val="24"/>
          <w:szCs w:val="24"/>
        </w:rPr>
      </w:pPr>
      <w:r w:rsidRPr="00CE121E">
        <w:rPr>
          <w:rFonts w:ascii="Gill Sans MT" w:hAnsi="Gill Sans MT"/>
          <w:b/>
          <w:bCs/>
          <w:sz w:val="24"/>
          <w:szCs w:val="24"/>
        </w:rPr>
        <w:t xml:space="preserve">Cases that were started in 2023-24 and completed in 2024-25. </w:t>
      </w:r>
    </w:p>
    <w:p w14:paraId="3BE8C827" w14:textId="77777777" w:rsidR="00CE121E" w:rsidRPr="00CE121E" w:rsidRDefault="00CE121E" w:rsidP="00CE121E">
      <w:pPr>
        <w:pStyle w:val="ListParagraph"/>
        <w:rPr>
          <w:rFonts w:ascii="Gill Sans MT" w:hAnsi="Gill Sans MT"/>
          <w:sz w:val="24"/>
          <w:szCs w:val="24"/>
        </w:rPr>
      </w:pPr>
    </w:p>
    <w:p w14:paraId="6C534A1F" w14:textId="77777777" w:rsidR="00CE121E" w:rsidRPr="00CE121E" w:rsidRDefault="00CE121E" w:rsidP="00CE121E">
      <w:pPr>
        <w:pStyle w:val="ListParagraph"/>
        <w:numPr>
          <w:ilvl w:val="0"/>
          <w:numId w:val="3"/>
        </w:numPr>
        <w:spacing w:after="200" w:line="276" w:lineRule="auto"/>
        <w:rPr>
          <w:rFonts w:ascii="Gill Sans MT" w:hAnsi="Gill Sans MT"/>
          <w:b/>
          <w:bCs/>
          <w:sz w:val="24"/>
          <w:szCs w:val="24"/>
        </w:rPr>
      </w:pPr>
      <w:r w:rsidRPr="00CE121E">
        <w:rPr>
          <w:rFonts w:ascii="Gill Sans MT" w:hAnsi="Gill Sans MT"/>
          <w:b/>
          <w:bCs/>
          <w:sz w:val="24"/>
          <w:szCs w:val="24"/>
        </w:rPr>
        <w:t xml:space="preserve">Case 1. Anti-social behaviour complaint handling (initiated in 2023-24 completed in in 2024-25) </w:t>
      </w:r>
    </w:p>
    <w:p w14:paraId="524F6BD1" w14:textId="77777777" w:rsidR="00CE121E" w:rsidRPr="00CE121E" w:rsidRDefault="00CE121E" w:rsidP="00CE121E">
      <w:pPr>
        <w:pStyle w:val="ListParagraph"/>
        <w:jc w:val="both"/>
        <w:rPr>
          <w:rFonts w:ascii="Gill Sans MT" w:hAnsi="Gill Sans MT"/>
          <w:sz w:val="24"/>
          <w:szCs w:val="24"/>
        </w:rPr>
      </w:pPr>
      <w:r w:rsidRPr="00CE121E">
        <w:rPr>
          <w:rFonts w:ascii="Gill Sans MT" w:hAnsi="Gill Sans MT"/>
          <w:sz w:val="24"/>
          <w:szCs w:val="24"/>
        </w:rPr>
        <w:t xml:space="preserve">The determination from the Housing Ombudsman did not find any maladministration on how BHA managed the reports of Anti-social behaviour, they determined that the timelines for complaint handling were outside of the handling code and BHA were ordered to pay £150.00 to the tenant. </w:t>
      </w:r>
    </w:p>
    <w:p w14:paraId="4BE801C6" w14:textId="77777777" w:rsidR="00CE121E" w:rsidRPr="00CE121E" w:rsidRDefault="00CE121E" w:rsidP="00CE121E">
      <w:pPr>
        <w:pStyle w:val="ListParagraph"/>
        <w:numPr>
          <w:ilvl w:val="0"/>
          <w:numId w:val="3"/>
        </w:numPr>
        <w:spacing w:after="200" w:line="276" w:lineRule="auto"/>
        <w:rPr>
          <w:rFonts w:ascii="Gill Sans MT" w:hAnsi="Gill Sans MT"/>
          <w:b/>
          <w:bCs/>
          <w:sz w:val="24"/>
          <w:szCs w:val="24"/>
        </w:rPr>
      </w:pPr>
      <w:r w:rsidRPr="00CE121E">
        <w:rPr>
          <w:rFonts w:ascii="Gill Sans MT" w:hAnsi="Gill Sans MT"/>
          <w:b/>
          <w:bCs/>
          <w:sz w:val="24"/>
          <w:szCs w:val="24"/>
        </w:rPr>
        <w:t xml:space="preserve">Case 2. Anti-social behaviour complaint handling and contractors’ behaviours </w:t>
      </w:r>
    </w:p>
    <w:p w14:paraId="1E98E265" w14:textId="77777777" w:rsidR="00CE121E" w:rsidRPr="00CE121E" w:rsidRDefault="00CE121E" w:rsidP="00CE121E">
      <w:pPr>
        <w:pStyle w:val="ListParagraph"/>
        <w:jc w:val="both"/>
        <w:rPr>
          <w:rFonts w:ascii="Gill Sans MT" w:hAnsi="Gill Sans MT"/>
          <w:sz w:val="24"/>
          <w:szCs w:val="24"/>
        </w:rPr>
      </w:pPr>
      <w:r w:rsidRPr="00CE121E">
        <w:rPr>
          <w:rFonts w:ascii="Gill Sans MT" w:hAnsi="Gill Sans MT"/>
          <w:sz w:val="24"/>
          <w:szCs w:val="24"/>
        </w:rPr>
        <w:t xml:space="preserve">The determination from the Housing Ombudsman did not find any maladministration on how BHA managed the reports of Anti-social behaviour, they determined that there was a service failure on the behaviours of BHA’s contractor and BHA were ordered to pay £150.00 to the tenant and put an action plan in place to support the tenant with their needs. </w:t>
      </w:r>
    </w:p>
    <w:p w14:paraId="7435006E" w14:textId="02FC93B9" w:rsidR="00CE121E" w:rsidRPr="00CE121E" w:rsidRDefault="00CE121E" w:rsidP="00CE121E">
      <w:pPr>
        <w:spacing w:after="0" w:line="240" w:lineRule="auto"/>
        <w:jc w:val="both"/>
        <w:rPr>
          <w:rFonts w:ascii="Gill Sans MT" w:eastAsiaTheme="minorEastAsia" w:hAnsi="Gill Sans MT"/>
          <w:bCs/>
          <w:sz w:val="24"/>
          <w:szCs w:val="24"/>
          <w:lang w:eastAsia="en-GB"/>
        </w:rPr>
      </w:pPr>
      <w:r w:rsidRPr="00CE121E">
        <w:rPr>
          <w:rFonts w:ascii="Gill Sans MT" w:eastAsiaTheme="minorEastAsia" w:hAnsi="Gill Sans MT"/>
          <w:bCs/>
          <w:sz w:val="24"/>
          <w:szCs w:val="24"/>
          <w:lang w:eastAsia="en-GB"/>
        </w:rPr>
        <w:lastRenderedPageBreak/>
        <w:t>2.</w:t>
      </w:r>
      <w:r>
        <w:rPr>
          <w:rFonts w:ascii="Gill Sans MT" w:eastAsiaTheme="minorEastAsia" w:hAnsi="Gill Sans MT"/>
          <w:bCs/>
          <w:sz w:val="24"/>
          <w:szCs w:val="24"/>
          <w:lang w:eastAsia="en-GB"/>
        </w:rPr>
        <w:t>1</w:t>
      </w:r>
      <w:r w:rsidRPr="00CE121E">
        <w:rPr>
          <w:rFonts w:ascii="Gill Sans MT" w:eastAsiaTheme="minorEastAsia" w:hAnsi="Gill Sans MT"/>
          <w:bCs/>
          <w:sz w:val="24"/>
          <w:szCs w:val="24"/>
          <w:lang w:eastAsia="en-GB"/>
        </w:rPr>
        <w:t xml:space="preserve"> We are also making substantial progress with changing the culture of how we deal with complaints, and we are focussing on having improved productive and positive conversations with tenants from the onset of a potential complaint. </w:t>
      </w:r>
    </w:p>
    <w:p w14:paraId="305E7FB0" w14:textId="77777777" w:rsidR="00CE121E" w:rsidRPr="00CE121E" w:rsidRDefault="00CE121E" w:rsidP="00CE121E">
      <w:pPr>
        <w:spacing w:after="0" w:line="240" w:lineRule="auto"/>
        <w:jc w:val="both"/>
        <w:rPr>
          <w:rFonts w:ascii="Gill Sans MT" w:eastAsiaTheme="minorEastAsia" w:hAnsi="Gill Sans MT"/>
          <w:bCs/>
          <w:sz w:val="24"/>
          <w:szCs w:val="24"/>
          <w:lang w:eastAsia="en-GB"/>
        </w:rPr>
      </w:pPr>
    </w:p>
    <w:p w14:paraId="34554301" w14:textId="7558E1E5" w:rsidR="00CE121E" w:rsidRPr="00CE121E" w:rsidRDefault="00CE121E" w:rsidP="00CE121E">
      <w:pPr>
        <w:spacing w:after="0" w:line="240" w:lineRule="auto"/>
        <w:jc w:val="both"/>
        <w:rPr>
          <w:rFonts w:ascii="Gill Sans MT" w:eastAsiaTheme="minorEastAsia" w:hAnsi="Gill Sans MT"/>
          <w:bCs/>
          <w:sz w:val="24"/>
          <w:szCs w:val="24"/>
          <w:lang w:eastAsia="en-GB"/>
        </w:rPr>
      </w:pPr>
      <w:r w:rsidRPr="00CE121E">
        <w:rPr>
          <w:rFonts w:ascii="Gill Sans MT" w:eastAsiaTheme="minorEastAsia" w:hAnsi="Gill Sans MT"/>
          <w:bCs/>
          <w:sz w:val="24"/>
          <w:szCs w:val="24"/>
          <w:lang w:eastAsia="en-GB"/>
        </w:rPr>
        <w:t>2.</w:t>
      </w:r>
      <w:r>
        <w:rPr>
          <w:rFonts w:ascii="Gill Sans MT" w:eastAsiaTheme="minorEastAsia" w:hAnsi="Gill Sans MT"/>
          <w:bCs/>
          <w:sz w:val="24"/>
          <w:szCs w:val="24"/>
          <w:lang w:eastAsia="en-GB"/>
        </w:rPr>
        <w:t>2</w:t>
      </w:r>
      <w:r w:rsidRPr="00CE121E">
        <w:rPr>
          <w:rFonts w:ascii="Gill Sans MT" w:eastAsiaTheme="minorEastAsia" w:hAnsi="Gill Sans MT"/>
          <w:bCs/>
          <w:sz w:val="24"/>
          <w:szCs w:val="24"/>
          <w:lang w:eastAsia="en-GB"/>
        </w:rPr>
        <w:t xml:space="preserve"> We have been successful with two cases, where we were able to positively manage the situation at hand and deal with the issues that the tenant presented with positive outcomes, which resulted in the complaints being withdrawn. </w:t>
      </w:r>
    </w:p>
    <w:p w14:paraId="45F83C74" w14:textId="77777777" w:rsidR="00CE121E" w:rsidRPr="00CE121E" w:rsidRDefault="00CE121E" w:rsidP="00CE121E">
      <w:pPr>
        <w:rPr>
          <w:rFonts w:ascii="Gill Sans MT" w:hAnsi="Gill Sans MT"/>
          <w:b/>
          <w:bCs/>
          <w:sz w:val="24"/>
          <w:szCs w:val="24"/>
        </w:rPr>
      </w:pPr>
    </w:p>
    <w:p w14:paraId="5F3405BB" w14:textId="6E74B66B" w:rsidR="00CE121E" w:rsidRPr="00CE121E" w:rsidRDefault="00CE121E" w:rsidP="00CE121E">
      <w:pPr>
        <w:rPr>
          <w:rFonts w:ascii="Gill Sans MT" w:hAnsi="Gill Sans MT"/>
          <w:b/>
          <w:bCs/>
          <w:sz w:val="24"/>
          <w:szCs w:val="24"/>
        </w:rPr>
      </w:pPr>
      <w:r w:rsidRPr="00CE121E">
        <w:rPr>
          <w:rFonts w:ascii="Gill Sans MT" w:hAnsi="Gill Sans MT"/>
          <w:b/>
          <w:bCs/>
          <w:sz w:val="24"/>
          <w:szCs w:val="24"/>
        </w:rPr>
        <w:t>3.0 Lessons learnt</w:t>
      </w:r>
    </w:p>
    <w:p w14:paraId="69CCBDBC" w14:textId="4C9AB066" w:rsidR="00CE121E" w:rsidRPr="00CE121E" w:rsidRDefault="00CE121E" w:rsidP="00CE121E">
      <w:pPr>
        <w:rPr>
          <w:rFonts w:ascii="Gill Sans MT" w:hAnsi="Gill Sans MT"/>
          <w:sz w:val="24"/>
          <w:szCs w:val="24"/>
        </w:rPr>
      </w:pPr>
      <w:r w:rsidRPr="00CE121E">
        <w:rPr>
          <w:rFonts w:ascii="Gill Sans MT" w:hAnsi="Gill Sans MT"/>
          <w:sz w:val="24"/>
          <w:szCs w:val="24"/>
        </w:rPr>
        <w:t xml:space="preserve">3.1 From the complaints received during the year it was evident that lessons were learnt and that complaints are looked at positively for service improvements. </w:t>
      </w:r>
    </w:p>
    <w:p w14:paraId="6E97B73A" w14:textId="473E1D3E" w:rsidR="00CE121E" w:rsidRPr="00CE121E" w:rsidRDefault="00CE121E" w:rsidP="00CE121E">
      <w:pPr>
        <w:rPr>
          <w:rFonts w:ascii="Gill Sans MT" w:hAnsi="Gill Sans MT"/>
          <w:sz w:val="24"/>
          <w:szCs w:val="24"/>
        </w:rPr>
      </w:pPr>
      <w:r w:rsidRPr="00CE121E">
        <w:rPr>
          <w:rFonts w:ascii="Gill Sans MT" w:hAnsi="Gill Sans MT"/>
          <w:sz w:val="24"/>
          <w:szCs w:val="24"/>
        </w:rPr>
        <w:t xml:space="preserve">3.2 Below is an overview of lessons learnt during the year. </w:t>
      </w:r>
    </w:p>
    <w:p w14:paraId="4D5D156B" w14:textId="77777777" w:rsidR="00CE121E" w:rsidRPr="00CE121E" w:rsidRDefault="00CE121E" w:rsidP="00CE121E">
      <w:pPr>
        <w:pStyle w:val="ListParagraph"/>
        <w:numPr>
          <w:ilvl w:val="0"/>
          <w:numId w:val="4"/>
        </w:numPr>
        <w:spacing w:after="200" w:line="276" w:lineRule="auto"/>
        <w:rPr>
          <w:rFonts w:ascii="Gill Sans MT" w:hAnsi="Gill Sans MT"/>
          <w:sz w:val="24"/>
          <w:szCs w:val="24"/>
        </w:rPr>
      </w:pPr>
      <w:r w:rsidRPr="00CE121E">
        <w:rPr>
          <w:rFonts w:ascii="Gill Sans MT" w:hAnsi="Gill Sans MT"/>
          <w:sz w:val="24"/>
          <w:szCs w:val="24"/>
        </w:rPr>
        <w:t xml:space="preserve">Complaint handling – all complaints at both stages are reviewed by a senior manager to ensure consistency and transparency. </w:t>
      </w:r>
    </w:p>
    <w:p w14:paraId="070B92B3" w14:textId="77777777" w:rsidR="00CE121E" w:rsidRPr="00CE121E" w:rsidRDefault="00CE121E" w:rsidP="00CE121E">
      <w:pPr>
        <w:pStyle w:val="ListParagraph"/>
        <w:numPr>
          <w:ilvl w:val="0"/>
          <w:numId w:val="4"/>
        </w:numPr>
        <w:spacing w:after="200" w:line="276" w:lineRule="auto"/>
        <w:rPr>
          <w:rFonts w:ascii="Gill Sans MT" w:hAnsi="Gill Sans MT"/>
          <w:sz w:val="24"/>
          <w:szCs w:val="24"/>
        </w:rPr>
      </w:pPr>
      <w:r w:rsidRPr="00CE121E">
        <w:rPr>
          <w:rFonts w:ascii="Gill Sans MT" w:hAnsi="Gill Sans MT"/>
          <w:sz w:val="24"/>
          <w:szCs w:val="24"/>
        </w:rPr>
        <w:t xml:space="preserve">Timelines for complaints are now diarised in the member of staff’s diary to ensure they are completed on time. </w:t>
      </w:r>
    </w:p>
    <w:p w14:paraId="620794EC" w14:textId="77777777" w:rsidR="00CE121E" w:rsidRPr="00CE121E" w:rsidRDefault="00CE121E" w:rsidP="00CE121E">
      <w:pPr>
        <w:pStyle w:val="ListParagraph"/>
        <w:numPr>
          <w:ilvl w:val="0"/>
          <w:numId w:val="4"/>
        </w:numPr>
        <w:spacing w:after="200" w:line="276" w:lineRule="auto"/>
        <w:rPr>
          <w:rFonts w:ascii="Gill Sans MT" w:hAnsi="Gill Sans MT"/>
          <w:sz w:val="24"/>
          <w:szCs w:val="24"/>
        </w:rPr>
      </w:pPr>
      <w:r w:rsidRPr="00CE121E">
        <w:rPr>
          <w:rFonts w:ascii="Gill Sans MT" w:hAnsi="Gill Sans MT"/>
          <w:sz w:val="24"/>
          <w:szCs w:val="24"/>
        </w:rPr>
        <w:t xml:space="preserve">Tone of letter – a template for each complaint is now being used, which ensures we apologise, thank tenants for the complaint and has a section to detail resolution. This action was due to the tenant complaining about staffs’ behaviour and tone of letter. </w:t>
      </w:r>
    </w:p>
    <w:p w14:paraId="57E90EE7" w14:textId="77777777" w:rsidR="00CE121E" w:rsidRPr="00CE121E" w:rsidRDefault="00CE121E" w:rsidP="00CE121E">
      <w:pPr>
        <w:pStyle w:val="ListParagraph"/>
        <w:numPr>
          <w:ilvl w:val="0"/>
          <w:numId w:val="4"/>
        </w:numPr>
        <w:spacing w:after="200" w:line="276" w:lineRule="auto"/>
        <w:rPr>
          <w:rFonts w:ascii="Gill Sans MT" w:hAnsi="Gill Sans MT"/>
          <w:sz w:val="24"/>
          <w:szCs w:val="24"/>
        </w:rPr>
      </w:pPr>
      <w:r w:rsidRPr="00CE121E">
        <w:rPr>
          <w:rFonts w:ascii="Gill Sans MT" w:hAnsi="Gill Sans MT"/>
          <w:sz w:val="24"/>
          <w:szCs w:val="24"/>
        </w:rPr>
        <w:t xml:space="preserve">Repairs responsibilities – a review of the tenant repair responsibility booklet has taken place and staff have been made aware of tenant vs landlord responsibilities. </w:t>
      </w:r>
    </w:p>
    <w:p w14:paraId="22EDA6B6" w14:textId="77777777" w:rsidR="00CE121E" w:rsidRPr="00CE121E" w:rsidRDefault="00CE121E" w:rsidP="00CE121E">
      <w:pPr>
        <w:pStyle w:val="ListParagraph"/>
        <w:numPr>
          <w:ilvl w:val="0"/>
          <w:numId w:val="4"/>
        </w:numPr>
        <w:spacing w:after="200" w:line="276" w:lineRule="auto"/>
        <w:rPr>
          <w:rFonts w:ascii="Gill Sans MT" w:hAnsi="Gill Sans MT"/>
          <w:sz w:val="24"/>
          <w:szCs w:val="24"/>
        </w:rPr>
      </w:pPr>
      <w:r w:rsidRPr="00CE121E">
        <w:rPr>
          <w:rFonts w:ascii="Gill Sans MT" w:hAnsi="Gill Sans MT"/>
          <w:sz w:val="24"/>
          <w:szCs w:val="24"/>
        </w:rPr>
        <w:t xml:space="preserve">Consistency with repairs for all tenants – a review of the landlord and tenant responsibilities as detailed above will ensure consistency in the delivery of the repairs service for all tenants. </w:t>
      </w:r>
    </w:p>
    <w:p w14:paraId="12215216" w14:textId="77777777" w:rsidR="00CE121E" w:rsidRPr="00CE121E" w:rsidRDefault="00CE121E" w:rsidP="00CE121E">
      <w:pPr>
        <w:pStyle w:val="ListParagraph"/>
        <w:numPr>
          <w:ilvl w:val="0"/>
          <w:numId w:val="4"/>
        </w:numPr>
        <w:spacing w:after="200" w:line="276" w:lineRule="auto"/>
        <w:rPr>
          <w:rFonts w:ascii="Gill Sans MT" w:hAnsi="Gill Sans MT"/>
          <w:b/>
          <w:bCs/>
          <w:sz w:val="24"/>
          <w:szCs w:val="24"/>
        </w:rPr>
      </w:pPr>
      <w:r w:rsidRPr="00CE121E">
        <w:rPr>
          <w:rFonts w:ascii="Gill Sans MT" w:hAnsi="Gill Sans MT"/>
          <w:sz w:val="24"/>
          <w:szCs w:val="24"/>
        </w:rPr>
        <w:t xml:space="preserve">GDPR – annual training takes place with all staff and contractors. </w:t>
      </w:r>
    </w:p>
    <w:p w14:paraId="2356D1C9" w14:textId="77777777" w:rsidR="00CE121E" w:rsidRPr="00CE121E" w:rsidRDefault="00CE121E" w:rsidP="00CE121E">
      <w:pPr>
        <w:pStyle w:val="ListParagraph"/>
        <w:numPr>
          <w:ilvl w:val="0"/>
          <w:numId w:val="4"/>
        </w:numPr>
        <w:spacing w:after="200" w:line="276" w:lineRule="auto"/>
        <w:rPr>
          <w:rFonts w:ascii="Gill Sans MT" w:hAnsi="Gill Sans MT"/>
          <w:b/>
          <w:bCs/>
          <w:sz w:val="24"/>
          <w:szCs w:val="24"/>
        </w:rPr>
      </w:pPr>
      <w:r w:rsidRPr="00CE121E">
        <w:rPr>
          <w:rFonts w:ascii="Gill Sans MT" w:hAnsi="Gill Sans MT"/>
          <w:sz w:val="24"/>
          <w:szCs w:val="24"/>
        </w:rPr>
        <w:t>GDPR – a newsletter article will be completed to ensure tenant understand our duty of care and responsibilities.</w:t>
      </w:r>
    </w:p>
    <w:p w14:paraId="02C0FB16" w14:textId="74334DC9" w:rsidR="00CE121E" w:rsidRPr="009164D7" w:rsidRDefault="009164D7">
      <w:pPr>
        <w:rPr>
          <w:rFonts w:ascii="Gill Sans MT" w:hAnsi="Gill Sans MT"/>
          <w:b/>
          <w:bCs/>
          <w:sz w:val="24"/>
          <w:szCs w:val="24"/>
        </w:rPr>
      </w:pPr>
      <w:r w:rsidRPr="009164D7">
        <w:rPr>
          <w:rFonts w:ascii="Gill Sans MT" w:hAnsi="Gill Sans MT"/>
          <w:b/>
          <w:bCs/>
          <w:sz w:val="24"/>
          <w:szCs w:val="24"/>
        </w:rPr>
        <w:t xml:space="preserve">BHA – Board Statement of Complaints Performance </w:t>
      </w:r>
    </w:p>
    <w:p w14:paraId="6F09F96C" w14:textId="77777777" w:rsidR="009164D7" w:rsidRDefault="009164D7">
      <w:pPr>
        <w:rPr>
          <w:rFonts w:ascii="Gill Sans MT" w:hAnsi="Gill Sans MT"/>
          <w:sz w:val="24"/>
          <w:szCs w:val="24"/>
        </w:rPr>
      </w:pPr>
    </w:p>
    <w:p w14:paraId="17A3E4C1" w14:textId="5F51342F" w:rsidR="009164D7" w:rsidRDefault="009164D7">
      <w:pPr>
        <w:rPr>
          <w:rFonts w:ascii="Gill Sans MT" w:hAnsi="Gill Sans MT"/>
          <w:sz w:val="24"/>
          <w:szCs w:val="24"/>
        </w:rPr>
      </w:pPr>
      <w:r>
        <w:rPr>
          <w:rFonts w:ascii="Gill Sans MT" w:hAnsi="Gill Sans MT"/>
          <w:sz w:val="24"/>
          <w:szCs w:val="24"/>
        </w:rPr>
        <w:t xml:space="preserve">BHA continues to investigate and conclude all new complaints consistently, in line with the Housing Ombudsman handing code and with a high level of professionalism. If required timelines have not been met these have been scrutinised to ensure lessons have been learnt for future complaints. </w:t>
      </w:r>
    </w:p>
    <w:p w14:paraId="1DE24B57" w14:textId="23A82571" w:rsidR="009164D7" w:rsidRDefault="009164D7">
      <w:pPr>
        <w:rPr>
          <w:rFonts w:ascii="Gill Sans MT" w:hAnsi="Gill Sans MT"/>
          <w:sz w:val="24"/>
          <w:szCs w:val="24"/>
        </w:rPr>
      </w:pPr>
      <w:r>
        <w:rPr>
          <w:rFonts w:ascii="Gill Sans MT" w:hAnsi="Gill Sans MT"/>
          <w:sz w:val="24"/>
          <w:szCs w:val="24"/>
        </w:rPr>
        <w:t xml:space="preserve">Positive feedback complaints handler has been consistent, and lessons learnt actions are tracked and progressing.  </w:t>
      </w:r>
    </w:p>
    <w:p w14:paraId="71211B0C" w14:textId="37A1F0D6" w:rsidR="009164D7" w:rsidRDefault="009164D7">
      <w:pPr>
        <w:rPr>
          <w:rFonts w:ascii="Gill Sans MT" w:hAnsi="Gill Sans MT"/>
          <w:sz w:val="24"/>
          <w:szCs w:val="24"/>
        </w:rPr>
      </w:pPr>
      <w:r>
        <w:rPr>
          <w:rFonts w:ascii="Gill Sans MT" w:hAnsi="Gill Sans MT"/>
          <w:sz w:val="24"/>
          <w:szCs w:val="24"/>
        </w:rPr>
        <w:t xml:space="preserve">BHA complaints culture has radically changed over the last year with a greater focus on streamlining processes to ensure transparency and accuracy, which is reflected in the number of complaints and outcomes. </w:t>
      </w:r>
    </w:p>
    <w:p w14:paraId="1838945D" w14:textId="4C6A1706" w:rsidR="009164D7" w:rsidRPr="009164D7" w:rsidRDefault="009164D7">
      <w:pPr>
        <w:rPr>
          <w:rFonts w:ascii="Gill Sans MT" w:hAnsi="Gill Sans MT"/>
          <w:i/>
          <w:iCs/>
          <w:sz w:val="24"/>
          <w:szCs w:val="24"/>
        </w:rPr>
      </w:pPr>
      <w:r w:rsidRPr="009164D7">
        <w:rPr>
          <w:rFonts w:ascii="Gill Sans MT" w:hAnsi="Gill Sans MT"/>
          <w:i/>
          <w:iCs/>
          <w:sz w:val="24"/>
          <w:szCs w:val="24"/>
        </w:rPr>
        <w:t xml:space="preserve">Kenny Johnson – Board Member </w:t>
      </w:r>
    </w:p>
    <w:p w14:paraId="7357F18E" w14:textId="44A1EF3F" w:rsidR="009164D7" w:rsidRPr="009164D7" w:rsidRDefault="009164D7">
      <w:pPr>
        <w:rPr>
          <w:rFonts w:ascii="Gill Sans MT" w:hAnsi="Gill Sans MT"/>
          <w:i/>
          <w:iCs/>
          <w:sz w:val="24"/>
          <w:szCs w:val="24"/>
        </w:rPr>
      </w:pPr>
      <w:r w:rsidRPr="009164D7">
        <w:rPr>
          <w:rFonts w:ascii="Gill Sans MT" w:hAnsi="Gill Sans MT"/>
          <w:i/>
          <w:iCs/>
          <w:sz w:val="24"/>
          <w:szCs w:val="24"/>
        </w:rPr>
        <w:t xml:space="preserve">Member Responsible for Complaints </w:t>
      </w:r>
    </w:p>
    <w:sectPr w:rsidR="009164D7" w:rsidRPr="009164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F62EE"/>
    <w:multiLevelType w:val="hybridMultilevel"/>
    <w:tmpl w:val="FF005E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120C9C"/>
    <w:multiLevelType w:val="hybridMultilevel"/>
    <w:tmpl w:val="581229F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9F3C30"/>
    <w:multiLevelType w:val="hybridMultilevel"/>
    <w:tmpl w:val="159ED7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3D9546A"/>
    <w:multiLevelType w:val="multilevel"/>
    <w:tmpl w:val="26A02FBE"/>
    <w:lvl w:ilvl="0">
      <w:start w:val="1"/>
      <w:numFmt w:val="decimal"/>
      <w:lvlText w:val="%1."/>
      <w:lvlJc w:val="left"/>
      <w:pPr>
        <w:ind w:left="502" w:hanging="360"/>
      </w:pPr>
      <w:rPr>
        <w:rFonts w:hint="default"/>
        <w:b/>
      </w:rPr>
    </w:lvl>
    <w:lvl w:ilvl="1">
      <w:start w:val="1"/>
      <w:numFmt w:val="decimal"/>
      <w:isLgl/>
      <w:lvlText w:val="%1.%2"/>
      <w:lvlJc w:val="left"/>
      <w:pPr>
        <w:ind w:left="36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16cid:durableId="1103652948">
    <w:abstractNumId w:val="3"/>
  </w:num>
  <w:num w:numId="2" w16cid:durableId="8341337">
    <w:abstractNumId w:val="2"/>
  </w:num>
  <w:num w:numId="3" w16cid:durableId="1607232877">
    <w:abstractNumId w:val="1"/>
  </w:num>
  <w:num w:numId="4" w16cid:durableId="453250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1E"/>
    <w:rsid w:val="00156857"/>
    <w:rsid w:val="0075319C"/>
    <w:rsid w:val="009164D7"/>
    <w:rsid w:val="00A819C1"/>
    <w:rsid w:val="00BD42BC"/>
    <w:rsid w:val="00CE121E"/>
    <w:rsid w:val="00DB2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6BA4"/>
  <w15:chartTrackingRefBased/>
  <w15:docId w15:val="{6BFFBB5E-2876-4784-A9C9-DF145BA3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2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12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12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2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2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2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2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2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2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2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12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12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2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2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2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2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2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21E"/>
    <w:rPr>
      <w:rFonts w:eastAsiaTheme="majorEastAsia" w:cstheme="majorBidi"/>
      <w:color w:val="272727" w:themeColor="text1" w:themeTint="D8"/>
    </w:rPr>
  </w:style>
  <w:style w:type="paragraph" w:styleId="Title">
    <w:name w:val="Title"/>
    <w:basedOn w:val="Normal"/>
    <w:next w:val="Normal"/>
    <w:link w:val="TitleChar"/>
    <w:uiPriority w:val="10"/>
    <w:qFormat/>
    <w:rsid w:val="00CE12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2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2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2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21E"/>
    <w:pPr>
      <w:spacing w:before="160"/>
      <w:jc w:val="center"/>
    </w:pPr>
    <w:rPr>
      <w:i/>
      <w:iCs/>
      <w:color w:val="404040" w:themeColor="text1" w:themeTint="BF"/>
    </w:rPr>
  </w:style>
  <w:style w:type="character" w:customStyle="1" w:styleId="QuoteChar">
    <w:name w:val="Quote Char"/>
    <w:basedOn w:val="DefaultParagraphFont"/>
    <w:link w:val="Quote"/>
    <w:uiPriority w:val="29"/>
    <w:rsid w:val="00CE121E"/>
    <w:rPr>
      <w:i/>
      <w:iCs/>
      <w:color w:val="404040" w:themeColor="text1" w:themeTint="BF"/>
    </w:rPr>
  </w:style>
  <w:style w:type="paragraph" w:styleId="ListParagraph">
    <w:name w:val="List Paragraph"/>
    <w:basedOn w:val="Normal"/>
    <w:uiPriority w:val="34"/>
    <w:qFormat/>
    <w:rsid w:val="00CE121E"/>
    <w:pPr>
      <w:ind w:left="720"/>
      <w:contextualSpacing/>
    </w:pPr>
  </w:style>
  <w:style w:type="character" w:styleId="IntenseEmphasis">
    <w:name w:val="Intense Emphasis"/>
    <w:basedOn w:val="DefaultParagraphFont"/>
    <w:uiPriority w:val="21"/>
    <w:qFormat/>
    <w:rsid w:val="00CE121E"/>
    <w:rPr>
      <w:i/>
      <w:iCs/>
      <w:color w:val="0F4761" w:themeColor="accent1" w:themeShade="BF"/>
    </w:rPr>
  </w:style>
  <w:style w:type="paragraph" w:styleId="IntenseQuote">
    <w:name w:val="Intense Quote"/>
    <w:basedOn w:val="Normal"/>
    <w:next w:val="Normal"/>
    <w:link w:val="IntenseQuoteChar"/>
    <w:uiPriority w:val="30"/>
    <w:qFormat/>
    <w:rsid w:val="00CE12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21E"/>
    <w:rPr>
      <w:i/>
      <w:iCs/>
      <w:color w:val="0F4761" w:themeColor="accent1" w:themeShade="BF"/>
    </w:rPr>
  </w:style>
  <w:style w:type="character" w:styleId="IntenseReference">
    <w:name w:val="Intense Reference"/>
    <w:basedOn w:val="DefaultParagraphFont"/>
    <w:uiPriority w:val="32"/>
    <w:qFormat/>
    <w:rsid w:val="00CE121E"/>
    <w:rPr>
      <w:b/>
      <w:bCs/>
      <w:smallCaps/>
      <w:color w:val="0F4761" w:themeColor="accent1" w:themeShade="BF"/>
      <w:spacing w:val="5"/>
    </w:rPr>
  </w:style>
  <w:style w:type="table" w:styleId="TableGrid">
    <w:name w:val="Table Grid"/>
    <w:basedOn w:val="TableNormal"/>
    <w:uiPriority w:val="39"/>
    <w:unhideWhenUsed/>
    <w:qFormat/>
    <w:rsid w:val="00CE121E"/>
    <w:pPr>
      <w:spacing w:after="0" w:line="240" w:lineRule="auto"/>
    </w:pPr>
    <w:rPr>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F21C643D1AC44797A15EA9F07039A9" ma:contentTypeVersion="15" ma:contentTypeDescription="Create a new document." ma:contentTypeScope="" ma:versionID="23727de3c64f3ddfabae6929967fd59a">
  <xsd:schema xmlns:xsd="http://www.w3.org/2001/XMLSchema" xmlns:xs="http://www.w3.org/2001/XMLSchema" xmlns:p="http://schemas.microsoft.com/office/2006/metadata/properties" xmlns:ns2="8853f533-ddec-42d7-bc1c-87d5ecaee09c" xmlns:ns3="7c2a668c-2adb-4c11-afec-0934133e84f4" targetNamespace="http://schemas.microsoft.com/office/2006/metadata/properties" ma:root="true" ma:fieldsID="64b8a10f70a5c617ccec545c9a53fe07" ns2:_="" ns3:_="">
    <xsd:import namespace="8853f533-ddec-42d7-bc1c-87d5ecaee09c"/>
    <xsd:import namespace="7c2a668c-2adb-4c11-afec-0934133e8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3f533-ddec-42d7-bc1c-87d5ecaee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c9b935-bfea-421c-9866-61a90731cc2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2a668c-2adb-4c11-afec-0934133e84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23b025-bfc1-45a9-86c6-44e1c19b061c}" ma:internalName="TaxCatchAll" ma:showField="CatchAllData" ma:web="7c2a668c-2adb-4c11-afec-0934133e84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53f533-ddec-42d7-bc1c-87d5ecaee09c">
      <Terms xmlns="http://schemas.microsoft.com/office/infopath/2007/PartnerControls"/>
    </lcf76f155ced4ddcb4097134ff3c332f>
    <TaxCatchAll xmlns="7c2a668c-2adb-4c11-afec-0934133e84f4" xsi:nil="true"/>
  </documentManagement>
</p:properties>
</file>

<file path=customXml/itemProps1.xml><?xml version="1.0" encoding="utf-8"?>
<ds:datastoreItem xmlns:ds="http://schemas.openxmlformats.org/officeDocument/2006/customXml" ds:itemID="{7B2B7685-0133-4C61-B8BF-6E5C7E248A99}"/>
</file>

<file path=customXml/itemProps2.xml><?xml version="1.0" encoding="utf-8"?>
<ds:datastoreItem xmlns:ds="http://schemas.openxmlformats.org/officeDocument/2006/customXml" ds:itemID="{0B706658-8960-4080-8602-C3A702F9EA2E}"/>
</file>

<file path=customXml/itemProps3.xml><?xml version="1.0" encoding="utf-8"?>
<ds:datastoreItem xmlns:ds="http://schemas.openxmlformats.org/officeDocument/2006/customXml" ds:itemID="{7FCCB404-D052-4B25-A1EA-91CA8A1EE0EF}"/>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Whittle</dc:creator>
  <cp:keywords/>
  <dc:description/>
  <cp:lastModifiedBy>Cheryl Whittle</cp:lastModifiedBy>
  <cp:revision>2</cp:revision>
  <dcterms:created xsi:type="dcterms:W3CDTF">2025-07-25T10:34:00Z</dcterms:created>
  <dcterms:modified xsi:type="dcterms:W3CDTF">2025-07-25T10:34:00Z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0x010100EFF21C643D1AC44797A15EA9F07039A9</vt:lpwstr>
  </property>
</Properties>
</file>