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A6AE" w14:textId="77777777" w:rsidR="00AA278E" w:rsidRDefault="00AA278E" w:rsidP="00AA278E">
      <w:pPr>
        <w:tabs>
          <w:tab w:val="left" w:pos="284"/>
        </w:tabs>
        <w:spacing w:after="0" w:line="240" w:lineRule="auto"/>
        <w:ind w:left="720" w:hanging="720"/>
        <w:contextualSpacing/>
      </w:pPr>
    </w:p>
    <w:p w14:paraId="647D319A" w14:textId="77777777" w:rsidR="00AA278E" w:rsidRDefault="00AA278E" w:rsidP="00AA278E">
      <w:pPr>
        <w:spacing w:after="0" w:line="240" w:lineRule="auto"/>
        <w:rPr>
          <w:rFonts w:ascii="Gill Sans MT" w:eastAsiaTheme="minorEastAsia" w:hAnsi="Gill Sans MT"/>
          <w:b/>
          <w:sz w:val="24"/>
          <w:szCs w:val="24"/>
          <w:lang w:val="en-US"/>
        </w:rPr>
      </w:pPr>
    </w:p>
    <w:p w14:paraId="3436C522" w14:textId="77777777" w:rsidR="00AA278E" w:rsidRDefault="00AA278E" w:rsidP="00AA278E">
      <w:pPr>
        <w:spacing w:after="0" w:line="240" w:lineRule="auto"/>
        <w:rPr>
          <w:rFonts w:ascii="Gill Sans MT" w:eastAsiaTheme="minorEastAsia" w:hAnsi="Gill Sans MT"/>
          <w:b/>
          <w:sz w:val="24"/>
          <w:szCs w:val="24"/>
          <w:lang w:val="en-US"/>
        </w:rPr>
      </w:pPr>
    </w:p>
    <w:p w14:paraId="1782361F" w14:textId="316F8697" w:rsidR="00AA278E" w:rsidRPr="000320ED" w:rsidRDefault="00AA278E" w:rsidP="00AA278E">
      <w:pPr>
        <w:spacing w:after="0" w:line="240" w:lineRule="auto"/>
        <w:rPr>
          <w:rFonts w:ascii="Gill Sans MT" w:eastAsiaTheme="minorEastAsia" w:hAnsi="Gill Sans MT"/>
          <w:b/>
          <w:sz w:val="24"/>
          <w:szCs w:val="24"/>
          <w:lang w:val="en-US"/>
        </w:rPr>
      </w:pPr>
      <w:r w:rsidRPr="000320ED">
        <w:rPr>
          <w:rFonts w:ascii="Gill Sans MT" w:eastAsiaTheme="minorEastAsia" w:hAnsi="Gill Sans MT"/>
          <w:b/>
          <w:sz w:val="24"/>
          <w:szCs w:val="24"/>
          <w:lang w:val="en-US"/>
        </w:rPr>
        <w:t>Barnsbury Housing Association</w:t>
      </w:r>
      <w:r w:rsidRPr="000320ED">
        <w:rPr>
          <w:rFonts w:ascii="Gill Sans MT" w:eastAsiaTheme="minorEastAsia" w:hAnsi="Gill Sans MT"/>
          <w:b/>
          <w:sz w:val="24"/>
          <w:szCs w:val="24"/>
          <w:lang w:val="en-US"/>
        </w:rPr>
        <w:tab/>
      </w:r>
      <w:r w:rsidRPr="000320ED">
        <w:rPr>
          <w:rFonts w:ascii="Gill Sans MT" w:eastAsiaTheme="minorEastAsia" w:hAnsi="Gill Sans MT"/>
          <w:b/>
          <w:sz w:val="24"/>
          <w:szCs w:val="24"/>
          <w:lang w:val="en-US"/>
        </w:rPr>
        <w:tab/>
      </w:r>
      <w:r w:rsidRPr="000320ED">
        <w:rPr>
          <w:rFonts w:ascii="Gill Sans MT" w:eastAsiaTheme="minorEastAsia" w:hAnsi="Gill Sans MT"/>
          <w:b/>
          <w:sz w:val="24"/>
          <w:szCs w:val="24"/>
          <w:lang w:val="en-US"/>
        </w:rPr>
        <w:tab/>
      </w:r>
      <w:r w:rsidRPr="000320ED">
        <w:rPr>
          <w:rFonts w:ascii="Gill Sans MT" w:eastAsiaTheme="minorEastAsia" w:hAnsi="Gill Sans MT"/>
          <w:b/>
          <w:sz w:val="24"/>
          <w:szCs w:val="24"/>
          <w:lang w:val="en-US"/>
        </w:rPr>
        <w:tab/>
      </w:r>
      <w:r w:rsidRPr="000320ED">
        <w:rPr>
          <w:rFonts w:ascii="Gill Sans MT" w:eastAsiaTheme="minorEastAsia" w:hAnsi="Gill Sans MT"/>
          <w:b/>
          <w:sz w:val="24"/>
          <w:szCs w:val="24"/>
          <w:lang w:val="en-US"/>
        </w:rPr>
        <w:tab/>
        <w:t xml:space="preserve">                    </w:t>
      </w:r>
    </w:p>
    <w:p w14:paraId="7962F310" w14:textId="7DABD21B" w:rsidR="00AA278E" w:rsidRPr="000320ED" w:rsidRDefault="00AA278E" w:rsidP="3E824911">
      <w:pPr>
        <w:spacing w:after="0" w:line="240" w:lineRule="auto"/>
        <w:rPr>
          <w:rFonts w:ascii="Gill Sans MT" w:eastAsiaTheme="minorEastAsia" w:hAnsi="Gill Sans MT"/>
          <w:b/>
          <w:bCs/>
          <w:sz w:val="24"/>
          <w:szCs w:val="24"/>
          <w:lang w:val="en-US"/>
        </w:rPr>
      </w:pPr>
      <w:r w:rsidRPr="3E824911">
        <w:rPr>
          <w:rFonts w:ascii="Gill Sans MT" w:eastAsiaTheme="minorEastAsia" w:hAnsi="Gill Sans MT"/>
          <w:b/>
          <w:bCs/>
          <w:sz w:val="24"/>
          <w:szCs w:val="24"/>
          <w:lang w:val="en-US"/>
        </w:rPr>
        <w:t>Board of Management May 16</w:t>
      </w:r>
      <w:r w:rsidR="59D14C75" w:rsidRPr="3E824911">
        <w:rPr>
          <w:rFonts w:ascii="Gill Sans MT" w:eastAsiaTheme="minorEastAsia" w:hAnsi="Gill Sans MT"/>
          <w:b/>
          <w:bCs/>
          <w:sz w:val="24"/>
          <w:szCs w:val="24"/>
          <w:lang w:val="en-US"/>
        </w:rPr>
        <w:t>, 2024</w:t>
      </w:r>
    </w:p>
    <w:p w14:paraId="6413A8AB" w14:textId="77777777" w:rsidR="00AA278E" w:rsidRPr="000320ED" w:rsidRDefault="00AA278E" w:rsidP="00AA278E">
      <w:pPr>
        <w:pBdr>
          <w:bottom w:val="single" w:sz="4" w:space="0" w:color="auto"/>
        </w:pBdr>
        <w:spacing w:after="0" w:line="240" w:lineRule="auto"/>
        <w:rPr>
          <w:rFonts w:ascii="Gill Sans MT" w:eastAsiaTheme="minorEastAsia" w:hAnsi="Gill Sans MT"/>
          <w:b/>
          <w:sz w:val="24"/>
          <w:szCs w:val="24"/>
          <w:lang w:val="en-US"/>
        </w:rPr>
      </w:pPr>
      <w:r w:rsidRPr="000320ED">
        <w:rPr>
          <w:rFonts w:ascii="Gill Sans MT" w:eastAsiaTheme="minorEastAsia" w:hAnsi="Gill Sans MT"/>
          <w:b/>
          <w:sz w:val="24"/>
          <w:szCs w:val="24"/>
          <w:lang w:val="en-US"/>
        </w:rPr>
        <w:t xml:space="preserve">Chief Executive’s Report </w:t>
      </w:r>
    </w:p>
    <w:p w14:paraId="1A99D836" w14:textId="77777777" w:rsidR="00AA278E" w:rsidRDefault="00AA278E" w:rsidP="00AA278E">
      <w:pPr>
        <w:tabs>
          <w:tab w:val="left" w:pos="284"/>
        </w:tabs>
        <w:spacing w:after="0" w:line="240" w:lineRule="auto"/>
        <w:ind w:left="720"/>
        <w:contextualSpacing/>
        <w:rPr>
          <w:rFonts w:ascii="Gill Sans MT" w:eastAsiaTheme="minorEastAsia" w:hAnsi="Gill Sans MT"/>
          <w:b/>
          <w:sz w:val="24"/>
          <w:szCs w:val="24"/>
          <w:lang w:eastAsia="en-GB"/>
        </w:rPr>
      </w:pPr>
    </w:p>
    <w:p w14:paraId="260E6C63" w14:textId="77777777" w:rsidR="00AA278E" w:rsidRDefault="00AA278E" w:rsidP="00AA278E">
      <w:pPr>
        <w:tabs>
          <w:tab w:val="left" w:pos="284"/>
        </w:tabs>
        <w:spacing w:after="0" w:line="240" w:lineRule="auto"/>
        <w:ind w:left="720"/>
        <w:contextualSpacing/>
        <w:rPr>
          <w:rFonts w:ascii="Gill Sans MT" w:eastAsiaTheme="minorEastAsia" w:hAnsi="Gill Sans MT"/>
          <w:b/>
          <w:sz w:val="24"/>
          <w:szCs w:val="24"/>
          <w:lang w:eastAsia="en-GB"/>
        </w:rPr>
      </w:pPr>
    </w:p>
    <w:p w14:paraId="755B8EE7" w14:textId="1B083CBA" w:rsidR="00AA278E" w:rsidRPr="00AE094C" w:rsidRDefault="00AA278E" w:rsidP="00AA278E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b/>
          <w:sz w:val="24"/>
          <w:szCs w:val="24"/>
          <w:lang w:eastAsia="en-GB"/>
        </w:rPr>
      </w:pPr>
      <w:r>
        <w:rPr>
          <w:rFonts w:ascii="Gill Sans MT" w:eastAsiaTheme="minorEastAsia" w:hAnsi="Gill Sans MT"/>
          <w:b/>
          <w:sz w:val="24"/>
          <w:szCs w:val="24"/>
          <w:lang w:eastAsia="en-GB"/>
        </w:rPr>
        <w:t xml:space="preserve">Review of complaints </w:t>
      </w:r>
    </w:p>
    <w:p w14:paraId="54863D56" w14:textId="77777777" w:rsidR="00AA278E" w:rsidRDefault="00AA278E" w:rsidP="00AA278E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 xml:space="preserve">Each year, we do a review of complaints received during the year to understand themes, trends and any lessons learnt. </w:t>
      </w:r>
    </w:p>
    <w:p w14:paraId="3CEBEB2D" w14:textId="77777777" w:rsidR="00AA278E" w:rsidRDefault="00AA278E" w:rsidP="00AA278E">
      <w:pPr>
        <w:tabs>
          <w:tab w:val="left" w:pos="284"/>
        </w:tabs>
        <w:spacing w:after="0" w:line="240" w:lineRule="auto"/>
        <w:ind w:left="360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</w:p>
    <w:p w14:paraId="41A9FC82" w14:textId="77777777" w:rsidR="00AA278E" w:rsidRPr="00EE20FD" w:rsidRDefault="00AA278E" w:rsidP="00AA278E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>We had 16 formal complaints during 2024/25. Of these:</w:t>
      </w:r>
    </w:p>
    <w:p w14:paraId="3148D4EE" w14:textId="77777777" w:rsidR="00AA278E" w:rsidRPr="00EE20FD" w:rsidRDefault="00AA278E" w:rsidP="00AA278E">
      <w:pPr>
        <w:pStyle w:val="ListParagraph"/>
        <w:numPr>
          <w:ilvl w:val="0"/>
          <w:numId w:val="2"/>
        </w:numPr>
        <w:spacing w:after="160" w:line="278" w:lineRule="auto"/>
        <w:rPr>
          <w:rFonts w:ascii="Gill Sans MT" w:hAnsi="Gill Sans MT"/>
        </w:rPr>
      </w:pPr>
      <w:r w:rsidRPr="00EE20FD">
        <w:rPr>
          <w:rFonts w:ascii="Gill Sans MT" w:hAnsi="Gill Sans MT"/>
        </w:rPr>
        <w:t>12 were concluded at Stage 1</w:t>
      </w:r>
    </w:p>
    <w:p w14:paraId="521D6FCC" w14:textId="77777777" w:rsidR="00AA278E" w:rsidRPr="00EE20FD" w:rsidRDefault="00AA278E" w:rsidP="00AA278E">
      <w:pPr>
        <w:pStyle w:val="ListParagraph"/>
        <w:numPr>
          <w:ilvl w:val="0"/>
          <w:numId w:val="2"/>
        </w:numPr>
        <w:spacing w:after="160" w:line="278" w:lineRule="auto"/>
        <w:rPr>
          <w:rFonts w:ascii="Gill Sans MT" w:hAnsi="Gill Sans MT"/>
        </w:rPr>
      </w:pPr>
      <w:r w:rsidRPr="00EE20FD">
        <w:rPr>
          <w:rFonts w:ascii="Gill Sans MT" w:hAnsi="Gill Sans MT"/>
        </w:rPr>
        <w:t xml:space="preserve">4 went to Stage 2 </w:t>
      </w:r>
    </w:p>
    <w:p w14:paraId="4E56CDEF" w14:textId="77777777" w:rsidR="00AA278E" w:rsidRPr="00EE20FD" w:rsidRDefault="00AA278E" w:rsidP="00AA278E">
      <w:pPr>
        <w:pStyle w:val="ListParagraph"/>
        <w:numPr>
          <w:ilvl w:val="0"/>
          <w:numId w:val="2"/>
        </w:numPr>
        <w:spacing w:after="160" w:line="278" w:lineRule="auto"/>
        <w:rPr>
          <w:rFonts w:ascii="Gill Sans MT" w:hAnsi="Gill Sans MT"/>
        </w:rPr>
      </w:pPr>
      <w:r w:rsidRPr="00EE20FD">
        <w:rPr>
          <w:rFonts w:ascii="Gill Sans MT" w:hAnsi="Gill Sans MT"/>
        </w:rPr>
        <w:t xml:space="preserve">1 is currently being considered by the Housing Ombudsman. </w:t>
      </w:r>
    </w:p>
    <w:p w14:paraId="73272815" w14:textId="77777777" w:rsidR="00AA278E" w:rsidRPr="00EE20FD" w:rsidRDefault="00AA278E" w:rsidP="00AA278E">
      <w:pPr>
        <w:pStyle w:val="ListParagraph"/>
        <w:numPr>
          <w:ilvl w:val="0"/>
          <w:numId w:val="2"/>
        </w:numPr>
        <w:spacing w:after="160" w:line="278" w:lineRule="auto"/>
        <w:rPr>
          <w:rFonts w:ascii="Gill Sans MT" w:hAnsi="Gill Sans MT"/>
        </w:rPr>
      </w:pPr>
      <w:r w:rsidRPr="00EE20FD">
        <w:rPr>
          <w:rFonts w:ascii="Gill Sans MT" w:hAnsi="Gill Sans MT"/>
        </w:rPr>
        <w:t>2 were upheld, 8 partially upheld and 6 were not upheld</w:t>
      </w:r>
    </w:p>
    <w:p w14:paraId="40399ACD" w14:textId="77777777" w:rsidR="00AA278E" w:rsidRPr="00EE20FD" w:rsidRDefault="00AA278E" w:rsidP="00AA278E">
      <w:pPr>
        <w:pStyle w:val="ListParagraph"/>
        <w:numPr>
          <w:ilvl w:val="0"/>
          <w:numId w:val="2"/>
        </w:numPr>
        <w:spacing w:after="160" w:line="278" w:lineRule="auto"/>
        <w:rPr>
          <w:rFonts w:ascii="Gill Sans MT" w:hAnsi="Gill Sans MT"/>
        </w:rPr>
      </w:pPr>
      <w:r w:rsidRPr="00EE20FD">
        <w:rPr>
          <w:rFonts w:ascii="Gill Sans MT" w:hAnsi="Gill Sans MT"/>
        </w:rPr>
        <w:t>All except one were responded to within time</w:t>
      </w:r>
    </w:p>
    <w:p w14:paraId="7CF476F9" w14:textId="2CBCA158" w:rsidR="00AA278E" w:rsidRDefault="00AA278E" w:rsidP="00AA278E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 xml:space="preserve">There were 11 separate complainants. One was an applicant, the rest tenants 6 of the Stage 1 complaints (and all of the Stage 2) were from the two tenants involved in the complex neighbour </w:t>
      </w:r>
      <w:r w:rsidR="00513039">
        <w:rPr>
          <w:rFonts w:ascii="Gill Sans MT" w:eastAsiaTheme="minorEastAsia" w:hAnsi="Gill Sans MT"/>
          <w:sz w:val="24"/>
          <w:szCs w:val="24"/>
          <w:lang w:eastAsia="en-GB"/>
        </w:rPr>
        <w:t xml:space="preserve">dispute. </w:t>
      </w: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 xml:space="preserve">  </w:t>
      </w:r>
    </w:p>
    <w:p w14:paraId="498519C1" w14:textId="77777777" w:rsidR="00AA278E" w:rsidRDefault="00AA278E" w:rsidP="00AA278E">
      <w:pPr>
        <w:tabs>
          <w:tab w:val="left" w:pos="284"/>
        </w:tabs>
        <w:spacing w:after="0" w:line="240" w:lineRule="auto"/>
        <w:ind w:left="360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</w:p>
    <w:p w14:paraId="1239DF27" w14:textId="77777777" w:rsidR="00AA278E" w:rsidRPr="00EE20FD" w:rsidRDefault="00AA278E" w:rsidP="00AA278E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 xml:space="preserve">Reasons for complaints are shown in the chart below: </w:t>
      </w:r>
    </w:p>
    <w:p w14:paraId="51328D12" w14:textId="77777777" w:rsidR="00AA278E" w:rsidRDefault="00AA278E" w:rsidP="00AA278E">
      <w:pPr>
        <w:jc w:val="center"/>
      </w:pPr>
      <w:r>
        <w:rPr>
          <w:noProof/>
        </w:rPr>
        <w:drawing>
          <wp:inline distT="0" distB="0" distL="0" distR="0" wp14:anchorId="408878D8" wp14:editId="4E90DBFF">
            <wp:extent cx="4145756" cy="2428399"/>
            <wp:effectExtent l="0" t="0" r="7620" b="10160"/>
            <wp:docPr id="170220329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D4AD8F0-F790-1477-0E5F-5807E2747D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B5AC455" w14:textId="3F005AD1" w:rsidR="00AA278E" w:rsidRDefault="00AA278E" w:rsidP="00AA278E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>It is difficult to pick out any general themes</w:t>
      </w:r>
      <w:r w:rsidR="00513039">
        <w:rPr>
          <w:rFonts w:ascii="Gill Sans MT" w:eastAsiaTheme="minorEastAsia" w:hAnsi="Gill Sans MT"/>
          <w:sz w:val="24"/>
          <w:szCs w:val="24"/>
          <w:lang w:eastAsia="en-GB"/>
        </w:rPr>
        <w:t xml:space="preserve"> or trends</w:t>
      </w: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 xml:space="preserve"> – most concerned very specific issues. </w:t>
      </w:r>
    </w:p>
    <w:p w14:paraId="042AADBA" w14:textId="77777777" w:rsidR="00AA278E" w:rsidRPr="00EE20FD" w:rsidRDefault="00AA278E" w:rsidP="00AA278E">
      <w:pPr>
        <w:tabs>
          <w:tab w:val="left" w:pos="284"/>
        </w:tabs>
        <w:spacing w:after="0" w:line="240" w:lineRule="auto"/>
        <w:ind w:left="360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</w:p>
    <w:p w14:paraId="0FB3D8A0" w14:textId="77777777" w:rsidR="00513039" w:rsidRDefault="00AA278E" w:rsidP="00AA278E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 xml:space="preserve">A couple of complaints were withdrawn due to </w:t>
      </w:r>
      <w:r w:rsidR="00513039">
        <w:rPr>
          <w:rFonts w:ascii="Gill Sans MT" w:eastAsiaTheme="minorEastAsia" w:hAnsi="Gill Sans MT"/>
          <w:sz w:val="24"/>
          <w:szCs w:val="24"/>
          <w:lang w:eastAsia="en-GB"/>
        </w:rPr>
        <w:t xml:space="preserve">early </w:t>
      </w: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 xml:space="preserve">intervention which have shown us that if we could improve our early responses, we could avert some expressions of dissatisfaction from becoming formal complaints and achieve a better outcome for tenants. </w:t>
      </w:r>
    </w:p>
    <w:p w14:paraId="018A18F1" w14:textId="77777777" w:rsidR="00513039" w:rsidRDefault="00513039" w:rsidP="00513039">
      <w:pPr>
        <w:pStyle w:val="ListParagraph"/>
        <w:rPr>
          <w:rFonts w:ascii="Gill Sans MT" w:eastAsiaTheme="minorEastAsia" w:hAnsi="Gill Sans MT"/>
          <w:sz w:val="24"/>
          <w:szCs w:val="24"/>
          <w:lang w:eastAsia="en-GB"/>
        </w:rPr>
      </w:pPr>
    </w:p>
    <w:p w14:paraId="74575890" w14:textId="55B80565" w:rsidR="00AA278E" w:rsidRDefault="00AA278E" w:rsidP="00AA278E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>A key part of this is a shared understanding across the team that ‘how’ we say or do something is as important as ‘what’ we do and that we could be better sometimes at understanding things from a tenant</w:t>
      </w:r>
      <w:r>
        <w:rPr>
          <w:rFonts w:ascii="Gill Sans MT" w:eastAsiaTheme="minorEastAsia" w:hAnsi="Gill Sans MT"/>
          <w:sz w:val="24"/>
          <w:szCs w:val="24"/>
          <w:lang w:eastAsia="en-GB"/>
        </w:rPr>
        <w:t>’</w:t>
      </w:r>
      <w:r w:rsidRPr="00EE20FD">
        <w:rPr>
          <w:rFonts w:ascii="Gill Sans MT" w:eastAsiaTheme="minorEastAsia" w:hAnsi="Gill Sans MT"/>
          <w:sz w:val="24"/>
          <w:szCs w:val="24"/>
          <w:lang w:eastAsia="en-GB"/>
        </w:rPr>
        <w:t>s point of view. We will be exploring this further at our all-team training day in June.</w:t>
      </w:r>
    </w:p>
    <w:p w14:paraId="55ED7BA8" w14:textId="77777777" w:rsidR="00AA278E" w:rsidRPr="00EE20FD" w:rsidRDefault="00AA278E" w:rsidP="00AA278E">
      <w:p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</w:p>
    <w:p w14:paraId="12ADB2E0" w14:textId="614F74B4" w:rsidR="00AA278E" w:rsidRDefault="00AA278E" w:rsidP="3E824911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3E824911">
        <w:rPr>
          <w:rFonts w:ascii="Gill Sans MT" w:eastAsiaTheme="minorEastAsia" w:hAnsi="Gill Sans MT"/>
          <w:sz w:val="24"/>
          <w:szCs w:val="24"/>
          <w:lang w:eastAsia="en-GB"/>
        </w:rPr>
        <w:t xml:space="preserve">Our service standards, setting out more clearly what tenants can expect from us, will also help. It may be too early to come to firm </w:t>
      </w:r>
      <w:r w:rsidR="55EE79EF" w:rsidRPr="3E824911">
        <w:rPr>
          <w:rFonts w:ascii="Gill Sans MT" w:eastAsiaTheme="minorEastAsia" w:hAnsi="Gill Sans MT"/>
          <w:sz w:val="24"/>
          <w:szCs w:val="24"/>
          <w:lang w:eastAsia="en-GB"/>
        </w:rPr>
        <w:t>conclusions,</w:t>
      </w:r>
      <w:r w:rsidRPr="3E824911">
        <w:rPr>
          <w:rFonts w:ascii="Gill Sans MT" w:eastAsiaTheme="minorEastAsia" w:hAnsi="Gill Sans MT"/>
          <w:sz w:val="24"/>
          <w:szCs w:val="24"/>
          <w:lang w:eastAsia="en-GB"/>
        </w:rPr>
        <w:t xml:space="preserve"> but it appears as though publishing our repairs responsibility booklet has helped in this regard. </w:t>
      </w:r>
    </w:p>
    <w:p w14:paraId="2CB402DC" w14:textId="77777777" w:rsidR="00AA278E" w:rsidRPr="00EE20FD" w:rsidRDefault="00AA278E" w:rsidP="00AA278E">
      <w:p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</w:p>
    <w:p w14:paraId="10DE7057" w14:textId="61D9D41B" w:rsidR="00AA278E" w:rsidRDefault="00AA278E" w:rsidP="18B28349">
      <w:pPr>
        <w:numPr>
          <w:ilvl w:val="1"/>
          <w:numId w:val="1"/>
        </w:numPr>
        <w:tabs>
          <w:tab w:val="left" w:pos="284"/>
        </w:tabs>
        <w:spacing w:after="0" w:line="240" w:lineRule="auto"/>
        <w:contextualSpacing/>
        <w:rPr>
          <w:rFonts w:ascii="Gill Sans MT" w:eastAsiaTheme="minorEastAsia" w:hAnsi="Gill Sans MT"/>
          <w:sz w:val="24"/>
          <w:szCs w:val="24"/>
          <w:lang w:eastAsia="en-GB"/>
        </w:rPr>
      </w:pPr>
      <w:r w:rsidRPr="18B28349">
        <w:rPr>
          <w:rFonts w:ascii="Gill Sans MT" w:eastAsiaTheme="minorEastAsia" w:hAnsi="Gill Sans MT"/>
          <w:sz w:val="24"/>
          <w:szCs w:val="24"/>
          <w:lang w:eastAsia="en-GB"/>
        </w:rPr>
        <w:t>There is an updated Housing Ombudsman Complaints Handling code and will be updating our policy and procedures in line with this for the next Board meeting. This will include a requirement for a board Complaints champion</w:t>
      </w:r>
      <w:r w:rsidR="00B32A03" w:rsidRPr="18B28349">
        <w:rPr>
          <w:rFonts w:ascii="Gill Sans MT" w:eastAsiaTheme="minorEastAsia" w:hAnsi="Gill Sans MT"/>
          <w:sz w:val="24"/>
          <w:szCs w:val="24"/>
          <w:lang w:eastAsia="en-GB"/>
        </w:rPr>
        <w:t xml:space="preserve"> to be agreed in the July board </w:t>
      </w:r>
      <w:r w:rsidR="2357C61C" w:rsidRPr="18B28349">
        <w:rPr>
          <w:rFonts w:ascii="Gill Sans MT" w:eastAsiaTheme="minorEastAsia" w:hAnsi="Gill Sans MT"/>
          <w:sz w:val="24"/>
          <w:szCs w:val="24"/>
          <w:lang w:eastAsia="en-GB"/>
        </w:rPr>
        <w:t>meeting.</w:t>
      </w:r>
      <w:r w:rsidRPr="18B28349">
        <w:rPr>
          <w:rFonts w:ascii="Gill Sans MT" w:eastAsiaTheme="minorEastAsia" w:hAnsi="Gill Sans MT"/>
          <w:sz w:val="24"/>
          <w:szCs w:val="24"/>
          <w:lang w:eastAsia="en-GB"/>
        </w:rPr>
        <w:t xml:space="preserve">   </w:t>
      </w:r>
    </w:p>
    <w:p w14:paraId="21BE9996" w14:textId="77777777" w:rsidR="00BD42BC" w:rsidRDefault="00BD42BC"/>
    <w:sectPr w:rsidR="00BD42B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3D16C" w14:textId="77777777" w:rsidR="004339AF" w:rsidRDefault="004339AF" w:rsidP="00AA278E">
      <w:pPr>
        <w:spacing w:after="0" w:line="240" w:lineRule="auto"/>
      </w:pPr>
      <w:r>
        <w:separator/>
      </w:r>
    </w:p>
  </w:endnote>
  <w:endnote w:type="continuationSeparator" w:id="0">
    <w:p w14:paraId="3F40B8AF" w14:textId="77777777" w:rsidR="004339AF" w:rsidRDefault="004339AF" w:rsidP="00AA278E">
      <w:pPr>
        <w:spacing w:after="0" w:line="240" w:lineRule="auto"/>
      </w:pPr>
      <w:r>
        <w:continuationSeparator/>
      </w:r>
    </w:p>
  </w:endnote>
  <w:endnote w:type="continuationNotice" w:id="1">
    <w:p w14:paraId="6C25FC7F" w14:textId="77777777" w:rsidR="00E850D4" w:rsidRDefault="00E850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4ACC" w14:textId="77777777" w:rsidR="004339AF" w:rsidRDefault="004339AF" w:rsidP="00AA278E">
      <w:pPr>
        <w:spacing w:after="0" w:line="240" w:lineRule="auto"/>
      </w:pPr>
      <w:r>
        <w:separator/>
      </w:r>
    </w:p>
  </w:footnote>
  <w:footnote w:type="continuationSeparator" w:id="0">
    <w:p w14:paraId="568D8CF2" w14:textId="77777777" w:rsidR="004339AF" w:rsidRDefault="004339AF" w:rsidP="00AA278E">
      <w:pPr>
        <w:spacing w:after="0" w:line="240" w:lineRule="auto"/>
      </w:pPr>
      <w:r>
        <w:continuationSeparator/>
      </w:r>
    </w:p>
  </w:footnote>
  <w:footnote w:type="continuationNotice" w:id="1">
    <w:p w14:paraId="31253BC8" w14:textId="77777777" w:rsidR="00E850D4" w:rsidRDefault="00E850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8FDEB" w14:textId="52DD6B71" w:rsidR="00AA278E" w:rsidRDefault="00AA278E" w:rsidP="00AA278E">
    <w:pPr>
      <w:pStyle w:val="Header"/>
      <w:jc w:val="right"/>
    </w:pPr>
    <w:r>
      <w:rPr>
        <w:noProof/>
      </w:rPr>
      <w:drawing>
        <wp:inline distT="0" distB="0" distL="0" distR="0" wp14:anchorId="136FA6C5" wp14:editId="3D5D8971">
          <wp:extent cx="1666875" cy="894715"/>
          <wp:effectExtent l="0" t="0" r="9525" b="635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98" cy="92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12E19"/>
    <w:multiLevelType w:val="multilevel"/>
    <w:tmpl w:val="B0E6E0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A9F3C30"/>
    <w:multiLevelType w:val="hybridMultilevel"/>
    <w:tmpl w:val="159ED74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238">
    <w:abstractNumId w:val="0"/>
  </w:num>
  <w:num w:numId="2" w16cid:durableId="8341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8E"/>
    <w:rsid w:val="0011479F"/>
    <w:rsid w:val="001A5759"/>
    <w:rsid w:val="004339AF"/>
    <w:rsid w:val="00513039"/>
    <w:rsid w:val="005302F5"/>
    <w:rsid w:val="00640FE9"/>
    <w:rsid w:val="009E5558"/>
    <w:rsid w:val="00AA278E"/>
    <w:rsid w:val="00B13F10"/>
    <w:rsid w:val="00B32A03"/>
    <w:rsid w:val="00BD42BC"/>
    <w:rsid w:val="00BE3720"/>
    <w:rsid w:val="00C51246"/>
    <w:rsid w:val="00DB27C7"/>
    <w:rsid w:val="00E70EF9"/>
    <w:rsid w:val="00E850D4"/>
    <w:rsid w:val="18B28349"/>
    <w:rsid w:val="2357C61C"/>
    <w:rsid w:val="3E824911"/>
    <w:rsid w:val="55EE79EF"/>
    <w:rsid w:val="59D1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2CC38"/>
  <w15:chartTrackingRefBased/>
  <w15:docId w15:val="{9BCAE610-47F2-4159-902A-7EE4DD33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78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2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7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27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27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27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27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27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27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27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27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27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27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A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78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2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78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60" b="1" i="0" u="none" strike="noStrike" kern="1200" baseline="0">
                <a:solidFill>
                  <a:schemeClr val="tx2"/>
                </a:solidFill>
                <a:latin typeface="Gill Sans MT" panose="020B0502020104020203" pitchFamily="34" charset="0"/>
                <a:ea typeface="+mn-ea"/>
                <a:cs typeface="+mn-cs"/>
              </a:defRPr>
            </a:pPr>
            <a:r>
              <a:rPr lang="en-GB"/>
              <a:t>Reason for complaints </a:t>
            </a:r>
          </a:p>
        </c:rich>
      </c:tx>
      <c:layout>
        <c:manualLayout>
          <c:xMode val="edge"/>
          <c:yMode val="edge"/>
          <c:x val="0.59057747606916777"/>
          <c:y val="5.85036899153296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60" b="1" i="0" u="none" strike="noStrike" kern="1200" baseline="0">
              <a:solidFill>
                <a:schemeClr val="tx2"/>
              </a:solidFill>
              <a:latin typeface="Gill Sans MT" panose="020B0502020104020203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C9B-4D4C-9748-9A8B9A1FD47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C9B-4D4C-9748-9A8B9A1FD47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C9B-4D4C-9748-9A8B9A1FD47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C9B-4D4C-9748-9A8B9A1FD47C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AC9B-4D4C-9748-9A8B9A1FD47C}"/>
              </c:ext>
            </c:extLst>
          </c:dPt>
          <c:dLbls>
            <c:dLbl>
              <c:idx val="4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0463828740157478"/>
                      <c:h val="0.1794254274701017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AC9B-4D4C-9748-9A8B9A1FD47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dk2">
                        <a:lumMod val="75000"/>
                      </a:schemeClr>
                    </a:solidFill>
                    <a:latin typeface="Gill Sans MT" panose="020B0502020104020203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Sheet1!$A$2:$A$6</c:f>
              <c:strCache>
                <c:ptCount val="5"/>
                <c:pt idx="0">
                  <c:v>Repairs</c:v>
                </c:pt>
                <c:pt idx="1">
                  <c:v>Staff behaviour </c:v>
                </c:pt>
                <c:pt idx="2">
                  <c:v>ASB handling </c:v>
                </c:pt>
                <c:pt idx="3">
                  <c:v>Allocations </c:v>
                </c:pt>
                <c:pt idx="4">
                  <c:v>Community development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9B-4D4C-9748-9A8B9A1FD47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Gill Sans MT" panose="020B0502020104020203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4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Whittle</dc:creator>
  <cp:keywords/>
  <dc:description/>
  <cp:lastModifiedBy>Chelsea Simner</cp:lastModifiedBy>
  <cp:revision>6</cp:revision>
  <dcterms:created xsi:type="dcterms:W3CDTF">2024-06-28T09:14:00Z</dcterms:created>
  <dcterms:modified xsi:type="dcterms:W3CDTF">2024-06-28T09:25:00Z</dcterms:modified>
</cp:coreProperties>
</file>