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6369E" w14:textId="60D2CBAD" w:rsidR="00395D34" w:rsidRPr="000B1E1D" w:rsidRDefault="006C2BD5" w:rsidP="00395D34">
      <w:pPr>
        <w:shd w:val="clear" w:color="auto" w:fill="4C94D8" w:themeFill="text2" w:themeFillTint="80"/>
        <w:rPr>
          <w:rFonts w:ascii="Gill Sans MT" w:hAnsi="Gill Sans MT"/>
          <w:color w:val="FFFFFF" w:themeColor="background1"/>
          <w:sz w:val="28"/>
          <w:szCs w:val="28"/>
        </w:rPr>
      </w:pPr>
      <w:r>
        <w:rPr>
          <w:rFonts w:ascii="Gill Sans MT" w:hAnsi="Gill Sans MT"/>
          <w:b/>
          <w:bCs/>
          <w:color w:val="FFFFFF" w:themeColor="background1"/>
          <w:sz w:val="28"/>
          <w:szCs w:val="28"/>
        </w:rPr>
        <w:t>Decant</w:t>
      </w:r>
      <w:r w:rsidR="00395D34" w:rsidRPr="000B1E1D">
        <w:rPr>
          <w:rFonts w:ascii="Gill Sans MT" w:hAnsi="Gill Sans MT"/>
          <w:b/>
          <w:bCs/>
          <w:color w:val="FFFFFF" w:themeColor="background1"/>
          <w:sz w:val="28"/>
          <w:szCs w:val="28"/>
        </w:rPr>
        <w:t xml:space="preserve"> Policy Summary </w:t>
      </w:r>
    </w:p>
    <w:p w14:paraId="37036258" w14:textId="77777777" w:rsidR="00E27C71" w:rsidRPr="00E27C71" w:rsidRDefault="00E27C71" w:rsidP="003A0897">
      <w:pPr>
        <w:rPr>
          <w:rFonts w:ascii="Gill Sans MT" w:hAnsi="Gill Sans MT"/>
          <w:b/>
          <w:bCs/>
          <w:color w:val="215E99" w:themeColor="text2" w:themeTint="BF"/>
        </w:rPr>
      </w:pPr>
      <w:r w:rsidRPr="00E27C71">
        <w:rPr>
          <w:rFonts w:ascii="Gill Sans MT" w:hAnsi="Gill Sans MT"/>
          <w:b/>
          <w:bCs/>
          <w:color w:val="215E99" w:themeColor="text2" w:themeTint="BF"/>
        </w:rPr>
        <w:t>What is a Decant?</w:t>
      </w:r>
    </w:p>
    <w:p w14:paraId="17E09905" w14:textId="555FDD39" w:rsidR="00E27C71" w:rsidRPr="00C123AE" w:rsidRDefault="00E27C71" w:rsidP="00E27C71">
      <w:pPr>
        <w:spacing w:before="0" w:after="160" w:line="278" w:lineRule="auto"/>
        <w:rPr>
          <w:rFonts w:ascii="Gill Sans MT" w:hAnsi="Gill Sans MT"/>
        </w:rPr>
      </w:pPr>
      <w:r w:rsidRPr="00C123AE">
        <w:rPr>
          <w:rFonts w:ascii="Gill Sans MT" w:hAnsi="Gill Sans MT"/>
        </w:rPr>
        <w:t xml:space="preserve">A decant is when a resident needs to move out of their home temporarily because it is not safe to remain there or because major works need to be carried out. Once the work is completed, residents </w:t>
      </w:r>
      <w:r w:rsidR="006C2BD5" w:rsidRPr="00C123AE">
        <w:rPr>
          <w:rFonts w:ascii="Gill Sans MT" w:hAnsi="Gill Sans MT"/>
        </w:rPr>
        <w:t>will</w:t>
      </w:r>
      <w:r w:rsidRPr="00C123AE">
        <w:rPr>
          <w:rFonts w:ascii="Gill Sans MT" w:hAnsi="Gill Sans MT"/>
        </w:rPr>
        <w:t xml:space="preserve"> normally return to their home.</w:t>
      </w:r>
    </w:p>
    <w:p w14:paraId="1E5B207F" w14:textId="77777777" w:rsidR="00E27C71" w:rsidRPr="00E27C71" w:rsidRDefault="00E27C71" w:rsidP="0040109F">
      <w:pPr>
        <w:spacing w:before="120" w:after="160" w:line="278" w:lineRule="auto"/>
        <w:rPr>
          <w:rFonts w:ascii="Gill Sans MT" w:hAnsi="Gill Sans MT"/>
          <w:b/>
          <w:bCs/>
          <w:color w:val="215E99" w:themeColor="text2" w:themeTint="BF"/>
        </w:rPr>
      </w:pPr>
      <w:r w:rsidRPr="00E27C71">
        <w:rPr>
          <w:rFonts w:ascii="Gill Sans MT" w:hAnsi="Gill Sans MT"/>
          <w:b/>
          <w:bCs/>
          <w:color w:val="215E99" w:themeColor="text2" w:themeTint="BF"/>
        </w:rPr>
        <w:t>When Might a Decant Be Needed?</w:t>
      </w:r>
    </w:p>
    <w:p w14:paraId="28FA6D26" w14:textId="77777777" w:rsidR="00E27C71" w:rsidRPr="00C123AE" w:rsidRDefault="00E27C71" w:rsidP="00E27C71">
      <w:pPr>
        <w:spacing w:before="0" w:after="160" w:line="278" w:lineRule="auto"/>
        <w:rPr>
          <w:rFonts w:ascii="Gill Sans MT" w:hAnsi="Gill Sans MT"/>
        </w:rPr>
      </w:pPr>
      <w:r w:rsidRPr="00C123AE">
        <w:rPr>
          <w:rFonts w:ascii="Gill Sans MT" w:hAnsi="Gill Sans MT"/>
        </w:rPr>
        <w:t>A temporary move may be required:</w:t>
      </w:r>
    </w:p>
    <w:p w14:paraId="2A3A0972" w14:textId="09545C4A"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to allow major repairs, structural works or refurbishment to take place.</w:t>
      </w:r>
    </w:p>
    <w:p w14:paraId="0F892E90" w14:textId="3978DDE1"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following serious damage such as flooding, fire or other emergencies.</w:t>
      </w:r>
    </w:p>
    <w:p w14:paraId="1CCBFD1E" w14:textId="226B93E6"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when a home becomes unsafe or hazardous.</w:t>
      </w:r>
    </w:p>
    <w:p w14:paraId="2299581D" w14:textId="1C6634EB" w:rsidR="003A0897" w:rsidRPr="00C123AE" w:rsidRDefault="00C123AE" w:rsidP="003A0897">
      <w:pPr>
        <w:numPr>
          <w:ilvl w:val="0"/>
          <w:numId w:val="19"/>
        </w:numPr>
        <w:spacing w:before="0" w:after="0" w:line="278" w:lineRule="auto"/>
        <w:ind w:left="357" w:hanging="357"/>
        <w:rPr>
          <w:rFonts w:ascii="Gill Sans MT" w:hAnsi="Gill Sans MT"/>
        </w:rPr>
      </w:pPr>
      <w:r w:rsidRPr="00C123AE">
        <w:rPr>
          <w:rFonts w:ascii="Gill Sans MT" w:hAnsi="Gill Sans MT"/>
        </w:rPr>
        <w:t xml:space="preserve">in exceptional circumstances, where health needs make it difficult for a resident to remain in the property while work </w:t>
      </w:r>
      <w:r w:rsidR="00E27C71" w:rsidRPr="00C123AE">
        <w:rPr>
          <w:rFonts w:ascii="Gill Sans MT" w:hAnsi="Gill Sans MT"/>
        </w:rPr>
        <w:t xml:space="preserve">is carried out. </w:t>
      </w:r>
    </w:p>
    <w:p w14:paraId="77993975" w14:textId="0FCF666F" w:rsidR="00E27C71" w:rsidRPr="00E27C71" w:rsidRDefault="00E27C71" w:rsidP="003A0897">
      <w:pPr>
        <w:rPr>
          <w:rFonts w:ascii="Gill Sans MT" w:hAnsi="Gill Sans MT"/>
          <w:b/>
          <w:bCs/>
          <w:color w:val="215E99" w:themeColor="text2" w:themeTint="BF"/>
        </w:rPr>
      </w:pPr>
      <w:r w:rsidRPr="00E27C71">
        <w:rPr>
          <w:rFonts w:ascii="Gill Sans MT" w:hAnsi="Gill Sans MT"/>
          <w:b/>
          <w:bCs/>
          <w:color w:val="215E99" w:themeColor="text2" w:themeTint="BF"/>
        </w:rPr>
        <w:t>Our Commitment</w:t>
      </w:r>
    </w:p>
    <w:p w14:paraId="4C3E2EB8" w14:textId="77777777" w:rsidR="00E27C71" w:rsidRPr="00C123AE" w:rsidRDefault="00E27C71" w:rsidP="00E27C71">
      <w:pPr>
        <w:spacing w:before="0" w:after="160" w:line="278" w:lineRule="auto"/>
        <w:rPr>
          <w:rFonts w:ascii="Gill Sans MT" w:hAnsi="Gill Sans MT"/>
        </w:rPr>
      </w:pPr>
      <w:r w:rsidRPr="00C123AE">
        <w:rPr>
          <w:rFonts w:ascii="Gill Sans MT" w:hAnsi="Gill Sans MT"/>
        </w:rPr>
        <w:t>BHA will:</w:t>
      </w:r>
    </w:p>
    <w:p w14:paraId="0893345F" w14:textId="0537EB55"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manage decants fairly and sympathetically.</w:t>
      </w:r>
    </w:p>
    <w:p w14:paraId="124CC6BA" w14:textId="71EE35C0"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provide as much notice as possible where works are planned.</w:t>
      </w:r>
    </w:p>
    <w:p w14:paraId="26709979" w14:textId="0917EC91"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keep residents informed throughout the process.</w:t>
      </w:r>
    </w:p>
    <w:p w14:paraId="48BC90DF" w14:textId="7332143E"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minimise disruption wherever possible.</w:t>
      </w:r>
    </w:p>
    <w:p w14:paraId="11E61296" w14:textId="182B0921" w:rsidR="0040109F" w:rsidRPr="00C123AE" w:rsidRDefault="00C123AE" w:rsidP="003A0897">
      <w:pPr>
        <w:numPr>
          <w:ilvl w:val="0"/>
          <w:numId w:val="19"/>
        </w:numPr>
        <w:spacing w:before="0" w:after="0" w:line="278" w:lineRule="auto"/>
        <w:ind w:left="357" w:hanging="357"/>
        <w:rPr>
          <w:rFonts w:ascii="Gill Sans MT" w:hAnsi="Gill Sans MT"/>
        </w:rPr>
      </w:pPr>
      <w:r w:rsidRPr="00C123AE">
        <w:rPr>
          <w:rFonts w:ascii="Gill Sans MT" w:hAnsi="Gill Sans MT"/>
        </w:rPr>
        <w:t xml:space="preserve">ensure residents have access to safe and suitable temporary </w:t>
      </w:r>
      <w:r w:rsidR="00E27C71" w:rsidRPr="00C123AE">
        <w:rPr>
          <w:rFonts w:ascii="Gill Sans MT" w:hAnsi="Gill Sans MT"/>
        </w:rPr>
        <w:t xml:space="preserve">accommodation </w:t>
      </w:r>
      <w:r w:rsidR="0040109F" w:rsidRPr="00C123AE">
        <w:rPr>
          <w:rFonts w:ascii="Gill Sans MT" w:hAnsi="Gill Sans MT"/>
        </w:rPr>
        <w:t>if needed</w:t>
      </w:r>
      <w:r w:rsidR="00E27C71" w:rsidRPr="00C123AE">
        <w:rPr>
          <w:rFonts w:ascii="Gill Sans MT" w:hAnsi="Gill Sans MT"/>
        </w:rPr>
        <w:t xml:space="preserve"> </w:t>
      </w:r>
    </w:p>
    <w:p w14:paraId="1B4342F0" w14:textId="699B9D15" w:rsidR="00E27C71" w:rsidRPr="00E27C71" w:rsidRDefault="00E27C71" w:rsidP="003A0897">
      <w:pPr>
        <w:rPr>
          <w:rFonts w:ascii="Gill Sans MT" w:hAnsi="Gill Sans MT"/>
          <w:b/>
          <w:bCs/>
          <w:color w:val="215E99" w:themeColor="text2" w:themeTint="BF"/>
        </w:rPr>
      </w:pPr>
      <w:r w:rsidRPr="00E27C71">
        <w:rPr>
          <w:rFonts w:ascii="Gill Sans MT" w:hAnsi="Gill Sans MT"/>
          <w:b/>
          <w:bCs/>
          <w:color w:val="215E99" w:themeColor="text2" w:themeTint="BF"/>
        </w:rPr>
        <w:t>Emergency Situations</w:t>
      </w:r>
    </w:p>
    <w:p w14:paraId="7E6BBFC9" w14:textId="77777777" w:rsidR="00E27C71" w:rsidRPr="00C123AE" w:rsidRDefault="00E27C71" w:rsidP="00E27C71">
      <w:pPr>
        <w:spacing w:before="0" w:after="160" w:line="278" w:lineRule="auto"/>
        <w:rPr>
          <w:rFonts w:ascii="Gill Sans MT" w:hAnsi="Gill Sans MT"/>
        </w:rPr>
      </w:pPr>
      <w:r w:rsidRPr="00C123AE">
        <w:rPr>
          <w:rFonts w:ascii="Gill Sans MT" w:hAnsi="Gill Sans MT"/>
        </w:rPr>
        <w:t>Where a home becomes uninhabitable because of an emergency such as a fire, flood or serious damage, BHA will work quickly to find temporary accommodation options. This may include:</w:t>
      </w:r>
    </w:p>
    <w:p w14:paraId="06A9709E" w14:textId="4AB53E8B"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staying with family or friends where possible</w:t>
      </w:r>
    </w:p>
    <w:p w14:paraId="2D5214C6" w14:textId="06090130"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 xml:space="preserve">use of </w:t>
      </w:r>
      <w:r w:rsidR="00D17B28">
        <w:rPr>
          <w:rFonts w:ascii="Gill Sans MT" w:hAnsi="Gill Sans MT"/>
        </w:rPr>
        <w:t>BHA</w:t>
      </w:r>
      <w:r w:rsidRPr="00C123AE">
        <w:rPr>
          <w:rFonts w:ascii="Gill Sans MT" w:hAnsi="Gill Sans MT"/>
        </w:rPr>
        <w:t xml:space="preserve"> guest room if available.</w:t>
      </w:r>
    </w:p>
    <w:p w14:paraId="40F3AC52" w14:textId="5C5C0A91"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hotels for short-term emergencies</w:t>
      </w:r>
    </w:p>
    <w:p w14:paraId="53D61C7B" w14:textId="3250B44F" w:rsidR="0040109F" w:rsidRPr="00C123AE" w:rsidRDefault="00C123AE" w:rsidP="00F55B18">
      <w:pPr>
        <w:numPr>
          <w:ilvl w:val="0"/>
          <w:numId w:val="19"/>
        </w:numPr>
        <w:spacing w:before="0" w:after="0" w:line="278" w:lineRule="auto"/>
        <w:ind w:left="357" w:hanging="357"/>
        <w:rPr>
          <w:rFonts w:ascii="Gill Sans MT" w:hAnsi="Gill Sans MT"/>
        </w:rPr>
      </w:pPr>
      <w:r w:rsidRPr="00C123AE">
        <w:rPr>
          <w:rFonts w:ascii="Gill Sans MT" w:hAnsi="Gill Sans MT"/>
        </w:rPr>
        <w:t xml:space="preserve">working with </w:t>
      </w:r>
      <w:r w:rsidR="0040109F" w:rsidRPr="00C123AE">
        <w:rPr>
          <w:rFonts w:ascii="Gill Sans MT" w:hAnsi="Gill Sans MT"/>
        </w:rPr>
        <w:t>LB</w:t>
      </w:r>
      <w:r w:rsidR="00E27C71" w:rsidRPr="00C123AE">
        <w:rPr>
          <w:rFonts w:ascii="Gill Sans MT" w:hAnsi="Gill Sans MT"/>
        </w:rPr>
        <w:t xml:space="preserve"> Islington where longer-term accommodation support is needed. </w:t>
      </w:r>
    </w:p>
    <w:p w14:paraId="025B59E2" w14:textId="77777777" w:rsidR="00F55B18" w:rsidRDefault="00F55B18" w:rsidP="003A0897">
      <w:pPr>
        <w:rPr>
          <w:rFonts w:ascii="Gill Sans MT" w:hAnsi="Gill Sans MT"/>
          <w:b/>
          <w:bCs/>
          <w:color w:val="215E99" w:themeColor="text2" w:themeTint="BF"/>
        </w:rPr>
      </w:pPr>
    </w:p>
    <w:p w14:paraId="09C9F4C4" w14:textId="0593E682" w:rsidR="00E27C71" w:rsidRPr="00E27C71" w:rsidRDefault="00E27C71" w:rsidP="003A0897">
      <w:pPr>
        <w:rPr>
          <w:rFonts w:ascii="Gill Sans MT" w:hAnsi="Gill Sans MT"/>
          <w:b/>
          <w:bCs/>
          <w:color w:val="215E99" w:themeColor="text2" w:themeTint="BF"/>
        </w:rPr>
      </w:pPr>
      <w:r w:rsidRPr="00E27C71">
        <w:rPr>
          <w:rFonts w:ascii="Gill Sans MT" w:hAnsi="Gill Sans MT"/>
          <w:b/>
          <w:bCs/>
          <w:color w:val="215E99" w:themeColor="text2" w:themeTint="BF"/>
        </w:rPr>
        <w:t>Planned Major Works</w:t>
      </w:r>
    </w:p>
    <w:p w14:paraId="23BFAB84" w14:textId="77777777" w:rsidR="00E27C71" w:rsidRPr="00C123AE" w:rsidRDefault="00E27C71" w:rsidP="00E27C71">
      <w:pPr>
        <w:spacing w:before="0" w:after="160" w:line="278" w:lineRule="auto"/>
        <w:rPr>
          <w:rFonts w:ascii="Gill Sans MT" w:hAnsi="Gill Sans MT"/>
        </w:rPr>
      </w:pPr>
      <w:r w:rsidRPr="00C123AE">
        <w:rPr>
          <w:rFonts w:ascii="Gill Sans MT" w:hAnsi="Gill Sans MT"/>
        </w:rPr>
        <w:t>Where major improvement or structural work is required and residents cannot reasonably remain in their home, BHA will:</w:t>
      </w:r>
    </w:p>
    <w:p w14:paraId="0B23B628" w14:textId="24C06ED5"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provide as much advance notice as possible.</w:t>
      </w:r>
    </w:p>
    <w:p w14:paraId="740FCFC8" w14:textId="2EB81B96"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discuss options at an early stage.</w:t>
      </w:r>
    </w:p>
    <w:p w14:paraId="1DA30ECA" w14:textId="76DACC26"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consider temporary accommodation if necessary</w:t>
      </w:r>
    </w:p>
    <w:p w14:paraId="137B1ADA" w14:textId="42C455D7"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 xml:space="preserve">explain any compensation or disturbance payments that may apply. </w:t>
      </w:r>
    </w:p>
    <w:p w14:paraId="74C1CAE6" w14:textId="77777777" w:rsidR="00E27C71" w:rsidRPr="00E27C71" w:rsidRDefault="00E27C71" w:rsidP="00E27C71">
      <w:pPr>
        <w:spacing w:before="0" w:after="160" w:line="278" w:lineRule="auto"/>
        <w:rPr>
          <w:rFonts w:ascii="Gill Sans MT" w:hAnsi="Gill Sans MT"/>
          <w:b/>
          <w:bCs/>
          <w:color w:val="215E99" w:themeColor="text2" w:themeTint="BF"/>
        </w:rPr>
      </w:pPr>
    </w:p>
    <w:p w14:paraId="4991D21D" w14:textId="77777777" w:rsidR="00E27C71" w:rsidRPr="00E27C71" w:rsidRDefault="00E27C71" w:rsidP="003A0897">
      <w:pPr>
        <w:rPr>
          <w:rFonts w:ascii="Gill Sans MT" w:hAnsi="Gill Sans MT"/>
          <w:b/>
          <w:bCs/>
          <w:color w:val="215E99" w:themeColor="text2" w:themeTint="BF"/>
        </w:rPr>
      </w:pPr>
      <w:r w:rsidRPr="00E27C71">
        <w:rPr>
          <w:rFonts w:ascii="Gill Sans MT" w:hAnsi="Gill Sans MT"/>
          <w:b/>
          <w:bCs/>
          <w:color w:val="215E99" w:themeColor="text2" w:themeTint="BF"/>
        </w:rPr>
        <w:t>Suitable Alternative Accommodation</w:t>
      </w:r>
    </w:p>
    <w:p w14:paraId="7A368669" w14:textId="77777777" w:rsidR="00E27C71" w:rsidRPr="00C123AE" w:rsidRDefault="00E27C71" w:rsidP="00E27C71">
      <w:pPr>
        <w:spacing w:before="0" w:after="160" w:line="278" w:lineRule="auto"/>
        <w:rPr>
          <w:rFonts w:ascii="Gill Sans MT" w:hAnsi="Gill Sans MT"/>
        </w:rPr>
      </w:pPr>
      <w:r w:rsidRPr="00C123AE">
        <w:rPr>
          <w:rFonts w:ascii="Gill Sans MT" w:hAnsi="Gill Sans MT"/>
        </w:rPr>
        <w:t>If temporary accommodation is required, BHA will ensure it is suitable for the household's needs. We will consider:</w:t>
      </w:r>
    </w:p>
    <w:p w14:paraId="18CF6F38" w14:textId="74546737"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household size and composition.</w:t>
      </w:r>
    </w:p>
    <w:p w14:paraId="68EA8198" w14:textId="146F99E8"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medical or mobility needs.</w:t>
      </w:r>
    </w:p>
    <w:p w14:paraId="077AA4A6" w14:textId="1DC5DEBA"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existing adaptations within the home.</w:t>
      </w:r>
    </w:p>
    <w:p w14:paraId="63671EA1" w14:textId="1A827D9F" w:rsidR="0040109F" w:rsidRPr="00C123AE" w:rsidRDefault="00C123AE" w:rsidP="00E27C71">
      <w:pPr>
        <w:numPr>
          <w:ilvl w:val="0"/>
          <w:numId w:val="19"/>
        </w:numPr>
        <w:spacing w:before="0" w:after="0" w:line="278" w:lineRule="auto"/>
        <w:ind w:left="357" w:hanging="357"/>
        <w:rPr>
          <w:rFonts w:ascii="Gill Sans MT" w:hAnsi="Gill Sans MT"/>
        </w:rPr>
      </w:pPr>
      <w:r>
        <w:rPr>
          <w:rFonts w:ascii="Gill Sans MT" w:hAnsi="Gill Sans MT"/>
        </w:rPr>
        <w:t>t</w:t>
      </w:r>
      <w:r w:rsidR="00E27C71" w:rsidRPr="00C123AE">
        <w:rPr>
          <w:rFonts w:ascii="Gill Sans MT" w:hAnsi="Gill Sans MT"/>
        </w:rPr>
        <w:t xml:space="preserve">he length of time a resident is expected to be away from their </w:t>
      </w:r>
      <w:r w:rsidR="003A0897" w:rsidRPr="00C123AE">
        <w:rPr>
          <w:rFonts w:ascii="Gill Sans MT" w:hAnsi="Gill Sans MT"/>
        </w:rPr>
        <w:t>home</w:t>
      </w:r>
      <w:r w:rsidR="00E27C71" w:rsidRPr="00C123AE">
        <w:rPr>
          <w:rFonts w:ascii="Gill Sans MT" w:hAnsi="Gill Sans MT"/>
        </w:rPr>
        <w:t xml:space="preserve">. Residents will normally receive one offer of suitable temporary accommodation. </w:t>
      </w:r>
    </w:p>
    <w:p w14:paraId="53EA9F58" w14:textId="6F4FCC8D" w:rsidR="00E27C71" w:rsidRPr="00E27C71" w:rsidRDefault="00E27C71" w:rsidP="003A0897">
      <w:pPr>
        <w:rPr>
          <w:rFonts w:ascii="Gill Sans MT" w:hAnsi="Gill Sans MT"/>
          <w:b/>
          <w:bCs/>
          <w:color w:val="215E99" w:themeColor="text2" w:themeTint="BF"/>
        </w:rPr>
      </w:pPr>
      <w:r w:rsidRPr="00E27C71">
        <w:rPr>
          <w:rFonts w:ascii="Gill Sans MT" w:hAnsi="Gill Sans MT"/>
          <w:b/>
          <w:bCs/>
          <w:color w:val="215E99" w:themeColor="text2" w:themeTint="BF"/>
        </w:rPr>
        <w:t>During the Decant</w:t>
      </w:r>
    </w:p>
    <w:p w14:paraId="6AEFC251" w14:textId="77777777" w:rsidR="00E27C71" w:rsidRPr="00C123AE" w:rsidRDefault="00E27C71" w:rsidP="00E27C71">
      <w:pPr>
        <w:spacing w:before="0" w:after="160" w:line="278" w:lineRule="auto"/>
        <w:rPr>
          <w:rFonts w:ascii="Gill Sans MT" w:hAnsi="Gill Sans MT"/>
        </w:rPr>
      </w:pPr>
      <w:r w:rsidRPr="00C123AE">
        <w:rPr>
          <w:rFonts w:ascii="Gill Sans MT" w:hAnsi="Gill Sans MT"/>
        </w:rPr>
        <w:t>Residents who move temporarily will:</w:t>
      </w:r>
    </w:p>
    <w:p w14:paraId="0AFE84FB" w14:textId="50B71C94"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usually return to their original home once works are completed.</w:t>
      </w:r>
    </w:p>
    <w:p w14:paraId="614045DB" w14:textId="7EAF88A1" w:rsidR="00E27C71" w:rsidRPr="00C123AE" w:rsidRDefault="00C123AE" w:rsidP="0040109F">
      <w:pPr>
        <w:numPr>
          <w:ilvl w:val="0"/>
          <w:numId w:val="19"/>
        </w:numPr>
        <w:spacing w:before="0" w:after="0" w:line="278" w:lineRule="auto"/>
        <w:ind w:left="357" w:hanging="357"/>
        <w:rPr>
          <w:rFonts w:ascii="Gill Sans MT" w:hAnsi="Gill Sans MT"/>
        </w:rPr>
      </w:pPr>
      <w:r w:rsidRPr="00C123AE">
        <w:rPr>
          <w:rFonts w:ascii="Gill Sans MT" w:hAnsi="Gill Sans MT"/>
        </w:rPr>
        <w:t xml:space="preserve">be kept updated on progress </w:t>
      </w:r>
    </w:p>
    <w:p w14:paraId="0F78D8D2" w14:textId="003C2FE2" w:rsidR="00E27C71" w:rsidRPr="00C123AE" w:rsidRDefault="00C123AE" w:rsidP="003A0897">
      <w:pPr>
        <w:numPr>
          <w:ilvl w:val="0"/>
          <w:numId w:val="19"/>
        </w:numPr>
        <w:spacing w:before="0" w:after="0" w:line="278" w:lineRule="auto"/>
        <w:ind w:left="357" w:hanging="357"/>
        <w:rPr>
          <w:rFonts w:ascii="Gill Sans MT" w:hAnsi="Gill Sans MT"/>
        </w:rPr>
      </w:pPr>
      <w:r w:rsidRPr="00C123AE">
        <w:rPr>
          <w:rFonts w:ascii="Gill Sans MT" w:hAnsi="Gill Sans MT"/>
        </w:rPr>
        <w:t xml:space="preserve">be required to provide access to the property while repairs are taking place. </w:t>
      </w:r>
    </w:p>
    <w:p w14:paraId="2A229E39" w14:textId="77777777" w:rsidR="00E27C71" w:rsidRPr="00E27C71" w:rsidRDefault="00E27C71" w:rsidP="003A0897">
      <w:pPr>
        <w:rPr>
          <w:rFonts w:ascii="Gill Sans MT" w:hAnsi="Gill Sans MT"/>
          <w:b/>
          <w:bCs/>
          <w:color w:val="215E99" w:themeColor="text2" w:themeTint="BF"/>
        </w:rPr>
      </w:pPr>
      <w:r w:rsidRPr="00E27C71">
        <w:rPr>
          <w:rFonts w:ascii="Gill Sans MT" w:hAnsi="Gill Sans MT"/>
          <w:b/>
          <w:bCs/>
          <w:color w:val="215E99" w:themeColor="text2" w:themeTint="BF"/>
        </w:rPr>
        <w:t>Additional Support</w:t>
      </w:r>
    </w:p>
    <w:p w14:paraId="0D1CB173" w14:textId="77777777" w:rsidR="00E27C71" w:rsidRPr="00C123AE" w:rsidRDefault="00E27C71" w:rsidP="00E27C71">
      <w:pPr>
        <w:spacing w:before="0" w:after="160" w:line="278" w:lineRule="auto"/>
        <w:rPr>
          <w:rFonts w:ascii="Gill Sans MT" w:hAnsi="Gill Sans MT"/>
        </w:rPr>
      </w:pPr>
      <w:r w:rsidRPr="00C123AE">
        <w:rPr>
          <w:rFonts w:ascii="Gill Sans MT" w:hAnsi="Gill Sans MT"/>
        </w:rPr>
        <w:t>Where appropriate, BHA may provide:</w:t>
      </w:r>
    </w:p>
    <w:p w14:paraId="20D039DC" w14:textId="47270A9D" w:rsidR="00E27C71" w:rsidRPr="00C123AE" w:rsidRDefault="00C123AE" w:rsidP="0040109F">
      <w:pPr>
        <w:numPr>
          <w:ilvl w:val="0"/>
          <w:numId w:val="19"/>
        </w:numPr>
        <w:spacing w:before="0" w:after="0" w:line="278" w:lineRule="auto"/>
        <w:ind w:left="357" w:hanging="357"/>
        <w:rPr>
          <w:rFonts w:ascii="Gill Sans MT" w:hAnsi="Gill Sans MT"/>
        </w:rPr>
      </w:pPr>
      <w:r>
        <w:rPr>
          <w:rFonts w:ascii="Gill Sans MT" w:hAnsi="Gill Sans MT"/>
        </w:rPr>
        <w:t>a</w:t>
      </w:r>
      <w:r w:rsidR="00E27C71" w:rsidRPr="00C123AE">
        <w:rPr>
          <w:rFonts w:ascii="Gill Sans MT" w:hAnsi="Gill Sans MT"/>
        </w:rPr>
        <w:t>ssistance with packing</w:t>
      </w:r>
      <w:r w:rsidR="006C2BD5" w:rsidRPr="00C123AE">
        <w:rPr>
          <w:rFonts w:ascii="Gill Sans MT" w:hAnsi="Gill Sans MT"/>
        </w:rPr>
        <w:t>/</w:t>
      </w:r>
      <w:r w:rsidR="00E27C71" w:rsidRPr="00C123AE">
        <w:rPr>
          <w:rFonts w:ascii="Gill Sans MT" w:hAnsi="Gill Sans MT"/>
        </w:rPr>
        <w:t xml:space="preserve">unpacking </w:t>
      </w:r>
    </w:p>
    <w:p w14:paraId="43192349" w14:textId="32F36A50" w:rsidR="00395D34" w:rsidRPr="00C123AE" w:rsidRDefault="003A0897" w:rsidP="003A0897">
      <w:pPr>
        <w:numPr>
          <w:ilvl w:val="0"/>
          <w:numId w:val="19"/>
        </w:numPr>
        <w:spacing w:before="0" w:after="0" w:line="278" w:lineRule="auto"/>
        <w:ind w:left="357" w:hanging="357"/>
        <w:rPr>
          <w:rFonts w:ascii="Gill Sans MT" w:hAnsi="Gill Sans MT"/>
        </w:rPr>
      </w:pPr>
      <w:r w:rsidRPr="00C123AE">
        <w:rPr>
          <w:rFonts w:ascii="Gill Sans MT" w:hAnsi="Gill Sans MT"/>
        </w:rPr>
        <w:t>s</w:t>
      </w:r>
      <w:r w:rsidR="00E27C71" w:rsidRPr="00C123AE">
        <w:rPr>
          <w:rFonts w:ascii="Gill Sans MT" w:hAnsi="Gill Sans MT"/>
        </w:rPr>
        <w:t>upport with pet boarding costs where needed.</w:t>
      </w:r>
    </w:p>
    <w:sectPr w:rsidR="00395D34" w:rsidRPr="00C123AE" w:rsidSect="003A0897">
      <w:headerReference w:type="even" r:id="rId7"/>
      <w:headerReference w:type="default" r:id="rId8"/>
      <w:footerReference w:type="even" r:id="rId9"/>
      <w:footerReference w:type="default" r:id="rId10"/>
      <w:headerReference w:type="first" r:id="rId11"/>
      <w:footerReference w:type="first" r:id="rId12"/>
      <w:pgSz w:w="11906" w:h="16838"/>
      <w:pgMar w:top="709" w:right="707" w:bottom="284" w:left="1134"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28704" w14:textId="77777777" w:rsidR="00A155EB" w:rsidRDefault="00A155EB" w:rsidP="00395D34">
      <w:pPr>
        <w:spacing w:before="0" w:after="0"/>
      </w:pPr>
      <w:r>
        <w:separator/>
      </w:r>
    </w:p>
  </w:endnote>
  <w:endnote w:type="continuationSeparator" w:id="0">
    <w:p w14:paraId="758E60E1" w14:textId="77777777" w:rsidR="00A155EB" w:rsidRDefault="00A155EB" w:rsidP="00395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D50FE" w14:textId="77777777" w:rsidR="00A155EB" w:rsidRDefault="00A155EB" w:rsidP="00395D34">
      <w:pPr>
        <w:spacing w:before="0" w:after="0"/>
      </w:pPr>
      <w:r>
        <w:separator/>
      </w:r>
    </w:p>
  </w:footnote>
  <w:footnote w:type="continuationSeparator" w:id="0">
    <w:p w14:paraId="0151A743" w14:textId="77777777" w:rsidR="00A155EB" w:rsidRDefault="00A155EB" w:rsidP="00395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1277980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FB"/>
    <w:multiLevelType w:val="multilevel"/>
    <w:tmpl w:val="3C6A2B8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A72553"/>
    <w:multiLevelType w:val="multilevel"/>
    <w:tmpl w:val="483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33E24"/>
    <w:multiLevelType w:val="multilevel"/>
    <w:tmpl w:val="7A0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20020"/>
    <w:multiLevelType w:val="multilevel"/>
    <w:tmpl w:val="FE5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952A6"/>
    <w:multiLevelType w:val="multilevel"/>
    <w:tmpl w:val="075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CB76FE"/>
    <w:multiLevelType w:val="multilevel"/>
    <w:tmpl w:val="97BA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92C50"/>
    <w:multiLevelType w:val="multilevel"/>
    <w:tmpl w:val="06565E9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A4B3781"/>
    <w:multiLevelType w:val="multilevel"/>
    <w:tmpl w:val="0D6C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4D68A2"/>
    <w:multiLevelType w:val="multilevel"/>
    <w:tmpl w:val="D65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4A23F4"/>
    <w:multiLevelType w:val="multilevel"/>
    <w:tmpl w:val="DB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BD0372"/>
    <w:multiLevelType w:val="multilevel"/>
    <w:tmpl w:val="CDD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1142DA"/>
    <w:multiLevelType w:val="multilevel"/>
    <w:tmpl w:val="EE3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AA674E"/>
    <w:multiLevelType w:val="multilevel"/>
    <w:tmpl w:val="DC5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C940BF"/>
    <w:multiLevelType w:val="multilevel"/>
    <w:tmpl w:val="30B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882231"/>
    <w:multiLevelType w:val="multilevel"/>
    <w:tmpl w:val="BB90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E14B24"/>
    <w:multiLevelType w:val="multilevel"/>
    <w:tmpl w:val="D32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996AB2"/>
    <w:multiLevelType w:val="multilevel"/>
    <w:tmpl w:val="DA1862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E1653BA"/>
    <w:multiLevelType w:val="multilevel"/>
    <w:tmpl w:val="ACB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746C3B"/>
    <w:multiLevelType w:val="multilevel"/>
    <w:tmpl w:val="E8B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771900">
    <w:abstractNumId w:val="9"/>
  </w:num>
  <w:num w:numId="2" w16cid:durableId="1913545949">
    <w:abstractNumId w:val="15"/>
  </w:num>
  <w:num w:numId="3" w16cid:durableId="441996600">
    <w:abstractNumId w:val="11"/>
  </w:num>
  <w:num w:numId="4" w16cid:durableId="1041713206">
    <w:abstractNumId w:val="3"/>
  </w:num>
  <w:num w:numId="5" w16cid:durableId="1794250459">
    <w:abstractNumId w:val="4"/>
  </w:num>
  <w:num w:numId="6" w16cid:durableId="1424379100">
    <w:abstractNumId w:val="5"/>
  </w:num>
  <w:num w:numId="7" w16cid:durableId="1949657728">
    <w:abstractNumId w:val="12"/>
  </w:num>
  <w:num w:numId="8" w16cid:durableId="1719351712">
    <w:abstractNumId w:val="18"/>
  </w:num>
  <w:num w:numId="9" w16cid:durableId="1612976179">
    <w:abstractNumId w:val="1"/>
  </w:num>
  <w:num w:numId="10" w16cid:durableId="939947847">
    <w:abstractNumId w:val="8"/>
  </w:num>
  <w:num w:numId="11" w16cid:durableId="182480336">
    <w:abstractNumId w:val="0"/>
  </w:num>
  <w:num w:numId="12" w16cid:durableId="1753118191">
    <w:abstractNumId w:val="16"/>
  </w:num>
  <w:num w:numId="13" w16cid:durableId="1546789409">
    <w:abstractNumId w:val="7"/>
  </w:num>
  <w:num w:numId="14" w16cid:durableId="465272633">
    <w:abstractNumId w:val="17"/>
  </w:num>
  <w:num w:numId="15" w16cid:durableId="118912863">
    <w:abstractNumId w:val="2"/>
  </w:num>
  <w:num w:numId="16" w16cid:durableId="790513353">
    <w:abstractNumId w:val="10"/>
  </w:num>
  <w:num w:numId="17" w16cid:durableId="1375347078">
    <w:abstractNumId w:val="14"/>
  </w:num>
  <w:num w:numId="18" w16cid:durableId="57439765">
    <w:abstractNumId w:val="13"/>
  </w:num>
  <w:num w:numId="19" w16cid:durableId="6394642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revisionView w:insDel="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B1E1D"/>
    <w:rsid w:val="003118C9"/>
    <w:rsid w:val="00383D57"/>
    <w:rsid w:val="00395D34"/>
    <w:rsid w:val="003A0897"/>
    <w:rsid w:val="0040109F"/>
    <w:rsid w:val="006C2BD5"/>
    <w:rsid w:val="00A155EB"/>
    <w:rsid w:val="00C123AE"/>
    <w:rsid w:val="00D17B28"/>
    <w:rsid w:val="00E27C71"/>
    <w:rsid w:val="00F55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Props1.xml><?xml version="1.0" encoding="utf-8"?>
<ds:datastoreItem xmlns:ds="http://schemas.openxmlformats.org/officeDocument/2006/customXml" ds:itemID="{3EDF4E9E-2357-467A-BE26-F0BF8BDD81A2}"/>
</file>

<file path=customXml/itemProps2.xml><?xml version="1.0" encoding="utf-8"?>
<ds:datastoreItem xmlns:ds="http://schemas.openxmlformats.org/officeDocument/2006/customXml" ds:itemID="{991E2A10-72C9-4855-9605-FC10FF1F610F}"/>
</file>

<file path=customXml/itemProps3.xml><?xml version="1.0" encoding="utf-8"?>
<ds:datastoreItem xmlns:ds="http://schemas.openxmlformats.org/officeDocument/2006/customXml" ds:itemID="{AEFAA2EA-5C93-4EE3-8F74-4A14A98D7442}"/>
</file>

<file path=docProps/app.xml><?xml version="1.0" encoding="utf-8"?>
<Properties xmlns="http://schemas.openxmlformats.org/officeDocument/2006/extended-properties" xmlns:vt="http://schemas.openxmlformats.org/officeDocument/2006/docPropsVTypes">
  <Template>Normal</Template>
  <TotalTime>5</TotalTime>
  <Pages>1</Pages>
  <Words>387</Words>
  <Characters>2060</Characters>
  <Application>Microsoft Office Word</Application>
  <DocSecurity>0</DocSecurity>
  <Lines>44</Lines>
  <Paragraphs>38</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Susan French</cp:lastModifiedBy>
  <cp:revision>4</cp:revision>
  <dcterms:created xsi:type="dcterms:W3CDTF">2026-09-29T11:39:00Z</dcterms:created>
  <dcterms:modified xsi:type="dcterms:W3CDTF">2026-09-29T11:51:00Z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ies>
</file>